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B16C" w14:textId="77777777" w:rsidR="00BF0EF2" w:rsidRPr="00CC0101" w:rsidRDefault="00BF0EF2" w:rsidP="00BF0EF2">
      <w:pPr>
        <w:spacing w:line="224" w:lineRule="exact"/>
        <w:ind w:left="20"/>
        <w:rPr>
          <w:b/>
        </w:rPr>
      </w:pPr>
    </w:p>
    <w:p w14:paraId="624A626F" w14:textId="1703AD71" w:rsidR="00BF0EF2" w:rsidRDefault="00DA4D7F" w:rsidP="00DE6C12">
      <w:pPr>
        <w:spacing w:line="224" w:lineRule="exact"/>
        <w:jc w:val="center"/>
        <w:rPr>
          <w:b/>
          <w:lang w:val="en-GB"/>
        </w:rPr>
      </w:pPr>
      <w:r w:rsidRPr="00677664">
        <w:rPr>
          <w:b/>
          <w:lang w:val="en-GB"/>
        </w:rPr>
        <w:t>COMMISSIONING GUIDANCE FOR THE WHOLE</w:t>
      </w:r>
      <w:r w:rsidR="00484BBD" w:rsidRPr="00677664">
        <w:rPr>
          <w:b/>
          <w:lang w:val="en-GB"/>
        </w:rPr>
        <w:t xml:space="preserve"> LUNG CANCER</w:t>
      </w:r>
      <w:r w:rsidRPr="00677664">
        <w:rPr>
          <w:b/>
          <w:lang w:val="en-GB"/>
        </w:rPr>
        <w:t xml:space="preserve"> PATHWAY</w:t>
      </w:r>
    </w:p>
    <w:p w14:paraId="6CC2B0CF" w14:textId="611DEE62" w:rsidR="005B4055" w:rsidRDefault="005B4055" w:rsidP="00DE6C12">
      <w:pPr>
        <w:spacing w:line="224" w:lineRule="exact"/>
        <w:jc w:val="center"/>
        <w:rPr>
          <w:b/>
          <w:lang w:val="en-GB"/>
        </w:rPr>
      </w:pPr>
      <w:r>
        <w:rPr>
          <w:b/>
          <w:lang w:val="en-GB"/>
        </w:rPr>
        <w:t>Summary of Essential Recommendations for Effective Services</w:t>
      </w:r>
    </w:p>
    <w:p w14:paraId="7B2CBAAD" w14:textId="0C630A15" w:rsidR="000F6A15" w:rsidRPr="00677664" w:rsidRDefault="000F6A15" w:rsidP="00DE6C12">
      <w:pPr>
        <w:spacing w:line="224" w:lineRule="exact"/>
        <w:jc w:val="center"/>
        <w:rPr>
          <w:b/>
          <w:lang w:val="en-GB"/>
        </w:rPr>
      </w:pPr>
      <w:r>
        <w:rPr>
          <w:b/>
          <w:lang w:val="en-GB"/>
        </w:rPr>
        <w:t>(see full guidance and appendix for details)</w:t>
      </w:r>
    </w:p>
    <w:p w14:paraId="5AAF333C" w14:textId="77777777" w:rsidR="00BF0EF2" w:rsidRPr="00677664" w:rsidRDefault="00BF0EF2" w:rsidP="00BF0EF2">
      <w:pPr>
        <w:spacing w:line="224" w:lineRule="exact"/>
        <w:ind w:left="20"/>
        <w:rPr>
          <w:b/>
          <w:lang w:val="en-GB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3464"/>
        <w:gridCol w:w="5677"/>
      </w:tblGrid>
      <w:tr w:rsidR="00880A0D" w:rsidRPr="00157464" w14:paraId="21310919" w14:textId="77777777" w:rsidTr="00A53CCD">
        <w:tc>
          <w:tcPr>
            <w:tcW w:w="3632" w:type="dxa"/>
            <w:shd w:val="clear" w:color="auto" w:fill="7F7F7F" w:themeFill="text1" w:themeFillTint="80"/>
          </w:tcPr>
          <w:p w14:paraId="0E4D68C1" w14:textId="56579C24" w:rsidR="00880A0D" w:rsidRPr="00677664" w:rsidRDefault="00DA4D7F" w:rsidP="00BF0EF2">
            <w:pPr>
              <w:spacing w:line="224" w:lineRule="exact"/>
              <w:rPr>
                <w:b/>
                <w:color w:val="F79646" w:themeColor="accent6"/>
                <w:lang w:val="en-GB"/>
              </w:rPr>
            </w:pPr>
            <w:r w:rsidRPr="00677664">
              <w:rPr>
                <w:b/>
                <w:color w:val="F79646" w:themeColor="accent6"/>
                <w:lang w:val="en-GB"/>
              </w:rPr>
              <w:t>Commissioning guidance</w:t>
            </w:r>
            <w:r w:rsidR="00880A0D" w:rsidRPr="00677664">
              <w:rPr>
                <w:b/>
                <w:color w:val="F79646" w:themeColor="accent6"/>
                <w:lang w:val="en-GB"/>
              </w:rPr>
              <w:t xml:space="preserve"> No</w:t>
            </w:r>
          </w:p>
        </w:tc>
        <w:tc>
          <w:tcPr>
            <w:tcW w:w="6054" w:type="dxa"/>
          </w:tcPr>
          <w:p w14:paraId="4AB8736D" w14:textId="77777777" w:rsidR="00880A0D" w:rsidRPr="00677664" w:rsidRDefault="00880A0D" w:rsidP="00BF0EF2">
            <w:pPr>
              <w:tabs>
                <w:tab w:val="center" w:pos="4320"/>
                <w:tab w:val="right" w:pos="8640"/>
              </w:tabs>
              <w:spacing w:line="224" w:lineRule="exact"/>
              <w:rPr>
                <w:b/>
                <w:lang w:val="en-GB"/>
              </w:rPr>
            </w:pPr>
          </w:p>
        </w:tc>
      </w:tr>
      <w:tr w:rsidR="00880A0D" w:rsidRPr="00157464" w14:paraId="50338E6D" w14:textId="77777777" w:rsidTr="00A53CCD">
        <w:tc>
          <w:tcPr>
            <w:tcW w:w="3632" w:type="dxa"/>
            <w:shd w:val="clear" w:color="auto" w:fill="7F7F7F" w:themeFill="text1" w:themeFillTint="80"/>
          </w:tcPr>
          <w:p w14:paraId="7136B828" w14:textId="77777777" w:rsidR="00880A0D" w:rsidRPr="00677664" w:rsidRDefault="00880A0D" w:rsidP="00BF0EF2">
            <w:pPr>
              <w:spacing w:line="224" w:lineRule="exact"/>
              <w:rPr>
                <w:b/>
                <w:color w:val="F79646" w:themeColor="accent6"/>
                <w:lang w:val="en-GB"/>
              </w:rPr>
            </w:pPr>
            <w:r w:rsidRPr="00677664">
              <w:rPr>
                <w:b/>
                <w:color w:val="F79646" w:themeColor="accent6"/>
                <w:lang w:val="en-GB"/>
              </w:rPr>
              <w:t>Service</w:t>
            </w:r>
          </w:p>
        </w:tc>
        <w:tc>
          <w:tcPr>
            <w:tcW w:w="6054" w:type="dxa"/>
          </w:tcPr>
          <w:p w14:paraId="5FDADD88" w14:textId="77777777" w:rsidR="008839EB" w:rsidRPr="00677664" w:rsidRDefault="00A53CCD" w:rsidP="00BF0EF2">
            <w:pPr>
              <w:spacing w:line="224" w:lineRule="exact"/>
              <w:rPr>
                <w:b/>
                <w:lang w:val="en-GB"/>
              </w:rPr>
            </w:pPr>
            <w:r w:rsidRPr="00677664">
              <w:rPr>
                <w:b/>
                <w:lang w:val="en-GB"/>
              </w:rPr>
              <w:t xml:space="preserve">Lung Cancer </w:t>
            </w:r>
            <w:r w:rsidR="006911FE" w:rsidRPr="00677664">
              <w:rPr>
                <w:b/>
                <w:lang w:val="en-GB"/>
              </w:rPr>
              <w:t xml:space="preserve">Whole </w:t>
            </w:r>
            <w:r w:rsidRPr="00677664">
              <w:rPr>
                <w:b/>
                <w:lang w:val="en-GB"/>
              </w:rPr>
              <w:t xml:space="preserve">Pathway </w:t>
            </w:r>
          </w:p>
          <w:p w14:paraId="5B43B996" w14:textId="4B24DA63" w:rsidR="00880A0D" w:rsidRPr="00677664" w:rsidRDefault="00A53CCD" w:rsidP="00BF0EF2">
            <w:pPr>
              <w:spacing w:line="224" w:lineRule="exact"/>
              <w:rPr>
                <w:b/>
                <w:lang w:val="en-GB"/>
              </w:rPr>
            </w:pPr>
            <w:r w:rsidRPr="00677664">
              <w:rPr>
                <w:b/>
                <w:lang w:val="en-GB"/>
              </w:rPr>
              <w:t>(</w:t>
            </w:r>
            <w:r w:rsidR="008839EB" w:rsidRPr="00677664">
              <w:rPr>
                <w:b/>
                <w:lang w:val="en-GB"/>
              </w:rPr>
              <w:t>including direct and specialised commissioning)</w:t>
            </w:r>
          </w:p>
        </w:tc>
      </w:tr>
      <w:tr w:rsidR="00880A0D" w:rsidRPr="00157464" w14:paraId="37CDA00D" w14:textId="77777777" w:rsidTr="00A53CCD">
        <w:tc>
          <w:tcPr>
            <w:tcW w:w="3632" w:type="dxa"/>
            <w:shd w:val="clear" w:color="auto" w:fill="7F7F7F" w:themeFill="text1" w:themeFillTint="80"/>
          </w:tcPr>
          <w:p w14:paraId="64EBCAC1" w14:textId="77777777" w:rsidR="00880A0D" w:rsidRPr="00677664" w:rsidRDefault="00880A0D" w:rsidP="00BF0EF2">
            <w:pPr>
              <w:spacing w:line="224" w:lineRule="exact"/>
              <w:rPr>
                <w:b/>
                <w:color w:val="F79646" w:themeColor="accent6"/>
                <w:lang w:val="en-GB"/>
              </w:rPr>
            </w:pPr>
            <w:r w:rsidRPr="00677664">
              <w:rPr>
                <w:b/>
                <w:color w:val="F79646" w:themeColor="accent6"/>
                <w:lang w:val="en-GB"/>
              </w:rPr>
              <w:t>Commissioner Lead</w:t>
            </w:r>
          </w:p>
        </w:tc>
        <w:tc>
          <w:tcPr>
            <w:tcW w:w="6054" w:type="dxa"/>
          </w:tcPr>
          <w:p w14:paraId="44CE422D" w14:textId="77777777" w:rsidR="00880A0D" w:rsidRPr="00677664" w:rsidRDefault="00880A0D" w:rsidP="00BF0EF2">
            <w:pPr>
              <w:tabs>
                <w:tab w:val="center" w:pos="4320"/>
                <w:tab w:val="right" w:pos="8640"/>
              </w:tabs>
              <w:spacing w:line="224" w:lineRule="exact"/>
              <w:rPr>
                <w:b/>
                <w:lang w:val="en-GB"/>
              </w:rPr>
            </w:pPr>
          </w:p>
        </w:tc>
      </w:tr>
      <w:tr w:rsidR="00880A0D" w:rsidRPr="00157464" w14:paraId="271C8C0D" w14:textId="77777777" w:rsidTr="00A53CCD">
        <w:tc>
          <w:tcPr>
            <w:tcW w:w="3632" w:type="dxa"/>
            <w:shd w:val="clear" w:color="auto" w:fill="7F7F7F" w:themeFill="text1" w:themeFillTint="80"/>
          </w:tcPr>
          <w:p w14:paraId="6681D52F" w14:textId="77777777" w:rsidR="00880A0D" w:rsidRPr="00677664" w:rsidRDefault="00880A0D" w:rsidP="00BF0EF2">
            <w:pPr>
              <w:spacing w:line="224" w:lineRule="exact"/>
              <w:rPr>
                <w:b/>
                <w:color w:val="F79646" w:themeColor="accent6"/>
                <w:lang w:val="en-GB"/>
              </w:rPr>
            </w:pPr>
            <w:r w:rsidRPr="00677664">
              <w:rPr>
                <w:b/>
                <w:color w:val="F79646" w:themeColor="accent6"/>
                <w:lang w:val="en-GB"/>
              </w:rPr>
              <w:t>Provider Lead</w:t>
            </w:r>
          </w:p>
        </w:tc>
        <w:tc>
          <w:tcPr>
            <w:tcW w:w="6054" w:type="dxa"/>
          </w:tcPr>
          <w:p w14:paraId="1DDC4A56" w14:textId="77777777" w:rsidR="00880A0D" w:rsidRPr="00677664" w:rsidRDefault="00880A0D" w:rsidP="00BF0EF2">
            <w:pPr>
              <w:tabs>
                <w:tab w:val="center" w:pos="4320"/>
                <w:tab w:val="right" w:pos="8640"/>
              </w:tabs>
              <w:spacing w:line="224" w:lineRule="exact"/>
              <w:rPr>
                <w:b/>
                <w:lang w:val="en-GB"/>
              </w:rPr>
            </w:pPr>
          </w:p>
        </w:tc>
      </w:tr>
      <w:tr w:rsidR="00880A0D" w:rsidRPr="00157464" w14:paraId="4A9C2B82" w14:textId="77777777" w:rsidTr="00A53CCD">
        <w:tc>
          <w:tcPr>
            <w:tcW w:w="3632" w:type="dxa"/>
            <w:shd w:val="clear" w:color="auto" w:fill="7F7F7F" w:themeFill="text1" w:themeFillTint="80"/>
          </w:tcPr>
          <w:p w14:paraId="0D359B27" w14:textId="77777777" w:rsidR="00880A0D" w:rsidRPr="00677664" w:rsidRDefault="00880A0D" w:rsidP="00BF0EF2">
            <w:pPr>
              <w:spacing w:line="224" w:lineRule="exact"/>
              <w:rPr>
                <w:b/>
                <w:color w:val="F79646" w:themeColor="accent6"/>
                <w:lang w:val="en-GB"/>
              </w:rPr>
            </w:pPr>
            <w:r w:rsidRPr="00677664">
              <w:rPr>
                <w:b/>
                <w:color w:val="F79646" w:themeColor="accent6"/>
                <w:lang w:val="en-GB"/>
              </w:rPr>
              <w:t>Period</w:t>
            </w:r>
          </w:p>
        </w:tc>
        <w:tc>
          <w:tcPr>
            <w:tcW w:w="6054" w:type="dxa"/>
          </w:tcPr>
          <w:p w14:paraId="5C8DE522" w14:textId="2A9D220B" w:rsidR="00880A0D" w:rsidRPr="00677664" w:rsidRDefault="00DE6C12" w:rsidP="00410A1E">
            <w:pPr>
              <w:spacing w:line="224" w:lineRule="exact"/>
              <w:rPr>
                <w:b/>
                <w:lang w:val="en-GB"/>
              </w:rPr>
            </w:pPr>
            <w:r w:rsidRPr="00677664">
              <w:rPr>
                <w:b/>
                <w:lang w:val="en-GB"/>
              </w:rPr>
              <w:t>2024/25</w:t>
            </w:r>
          </w:p>
        </w:tc>
      </w:tr>
      <w:tr w:rsidR="00880A0D" w:rsidRPr="00157464" w14:paraId="0231FA11" w14:textId="77777777" w:rsidTr="00A53CCD">
        <w:tc>
          <w:tcPr>
            <w:tcW w:w="3632" w:type="dxa"/>
            <w:shd w:val="clear" w:color="auto" w:fill="7F7F7F" w:themeFill="text1" w:themeFillTint="80"/>
          </w:tcPr>
          <w:p w14:paraId="643DF21E" w14:textId="77777777" w:rsidR="00880A0D" w:rsidRPr="00677664" w:rsidRDefault="00880A0D" w:rsidP="00BF0EF2">
            <w:pPr>
              <w:spacing w:line="224" w:lineRule="exact"/>
              <w:rPr>
                <w:b/>
                <w:color w:val="F79646" w:themeColor="accent6"/>
                <w:lang w:val="en-GB"/>
              </w:rPr>
            </w:pPr>
            <w:r w:rsidRPr="00677664">
              <w:rPr>
                <w:b/>
                <w:color w:val="F79646" w:themeColor="accent6"/>
                <w:lang w:val="en-GB"/>
              </w:rPr>
              <w:t>Date of Review</w:t>
            </w:r>
          </w:p>
        </w:tc>
        <w:tc>
          <w:tcPr>
            <w:tcW w:w="6054" w:type="dxa"/>
          </w:tcPr>
          <w:p w14:paraId="377E4536" w14:textId="6B20DFC9" w:rsidR="00880A0D" w:rsidRPr="00677664" w:rsidRDefault="00880A0D" w:rsidP="00410A1E">
            <w:pPr>
              <w:spacing w:line="224" w:lineRule="exact"/>
              <w:rPr>
                <w:b/>
                <w:lang w:val="en-GB"/>
              </w:rPr>
            </w:pPr>
            <w:r w:rsidRPr="00677664">
              <w:rPr>
                <w:b/>
                <w:lang w:val="en-GB"/>
              </w:rPr>
              <w:t>April 20</w:t>
            </w:r>
            <w:r w:rsidR="00DE6C12" w:rsidRPr="00677664">
              <w:rPr>
                <w:b/>
                <w:lang w:val="en-GB"/>
              </w:rPr>
              <w:t>25</w:t>
            </w:r>
          </w:p>
        </w:tc>
      </w:tr>
    </w:tbl>
    <w:p w14:paraId="5A6587FC" w14:textId="77777777" w:rsidR="00880A0D" w:rsidRPr="00677664" w:rsidRDefault="00880A0D" w:rsidP="00B9276C">
      <w:pPr>
        <w:spacing w:line="224" w:lineRule="exact"/>
        <w:rPr>
          <w:b/>
          <w:lang w:val="en-GB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120"/>
        <w:gridCol w:w="41"/>
      </w:tblGrid>
      <w:tr w:rsidR="000F6A15" w:rsidRPr="006F5F81" w14:paraId="694F117D" w14:textId="77777777" w:rsidTr="000F6A15">
        <w:trPr>
          <w:gridAfter w:val="1"/>
          <w:wAfter w:w="41" w:type="dxa"/>
        </w:trPr>
        <w:tc>
          <w:tcPr>
            <w:tcW w:w="9120" w:type="dxa"/>
            <w:shd w:val="clear" w:color="auto" w:fill="7F7F7F" w:themeFill="text1" w:themeFillTint="80"/>
          </w:tcPr>
          <w:p w14:paraId="1D052452" w14:textId="31A2CCA3" w:rsidR="000F6A15" w:rsidRDefault="000F6A15" w:rsidP="008D2565">
            <w:pPr>
              <w:spacing w:line="224" w:lineRule="exact"/>
              <w:rPr>
                <w:b/>
                <w:color w:val="008000"/>
                <w:lang w:val="en-GB"/>
              </w:rPr>
            </w:pPr>
            <w:r w:rsidRPr="000F6A15">
              <w:rPr>
                <w:b/>
                <w:color w:val="F79646" w:themeColor="accent6"/>
                <w:lang w:val="en-GB"/>
              </w:rPr>
              <w:t>SE1.0 Key priorities for commissioning services for people with suspected and confirmed lung cancer</w:t>
            </w:r>
          </w:p>
        </w:tc>
      </w:tr>
      <w:tr w:rsidR="00690494" w:rsidRPr="006F5F81" w14:paraId="64DA0283" w14:textId="77777777" w:rsidTr="005B4055">
        <w:trPr>
          <w:gridAfter w:val="1"/>
          <w:wAfter w:w="41" w:type="dxa"/>
        </w:trPr>
        <w:tc>
          <w:tcPr>
            <w:tcW w:w="9120" w:type="dxa"/>
          </w:tcPr>
          <w:p w14:paraId="3148CA88" w14:textId="3F8D7A8A" w:rsidR="00690494" w:rsidRPr="00677664" w:rsidRDefault="00690494" w:rsidP="008D2565">
            <w:pPr>
              <w:spacing w:line="224" w:lineRule="exact"/>
              <w:rPr>
                <w:b/>
                <w:color w:val="008000"/>
                <w:lang w:val="en-GB"/>
              </w:rPr>
            </w:pPr>
          </w:p>
          <w:p w14:paraId="07DD6676" w14:textId="4397EB6D" w:rsidR="00690494" w:rsidRPr="000F6A15" w:rsidRDefault="005B4055" w:rsidP="0069049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0F6A15">
              <w:rPr>
                <w:b/>
                <w:bCs/>
                <w:sz w:val="22"/>
                <w:szCs w:val="22"/>
                <w:lang w:val="en-GB"/>
              </w:rPr>
              <w:t>E</w:t>
            </w:r>
            <w:r w:rsidR="00690494" w:rsidRPr="000F6A15">
              <w:rPr>
                <w:b/>
                <w:bCs/>
                <w:sz w:val="22"/>
                <w:szCs w:val="22"/>
                <w:lang w:val="en-GB"/>
              </w:rPr>
              <w:t xml:space="preserve">arly diagnosis, reducing variation and </w:t>
            </w:r>
            <w:r w:rsidR="00161AE4" w:rsidRPr="000F6A15">
              <w:rPr>
                <w:b/>
                <w:bCs/>
                <w:sz w:val="22"/>
                <w:szCs w:val="22"/>
                <w:lang w:val="en-GB"/>
              </w:rPr>
              <w:t xml:space="preserve">living with </w:t>
            </w:r>
            <w:r w:rsidR="00CD14C6">
              <w:rPr>
                <w:b/>
                <w:bCs/>
                <w:sz w:val="22"/>
                <w:szCs w:val="22"/>
                <w:lang w:val="en-GB"/>
              </w:rPr>
              <w:t xml:space="preserve">lung </w:t>
            </w:r>
            <w:r w:rsidR="00161AE4" w:rsidRPr="000F6A15">
              <w:rPr>
                <w:b/>
                <w:bCs/>
                <w:sz w:val="22"/>
                <w:szCs w:val="22"/>
                <w:lang w:val="en-GB"/>
              </w:rPr>
              <w:t>cancer</w:t>
            </w:r>
            <w:r w:rsidR="00690494" w:rsidRPr="000F6A15">
              <w:rPr>
                <w:b/>
                <w:bCs/>
                <w:sz w:val="22"/>
                <w:szCs w:val="22"/>
                <w:lang w:val="en-GB"/>
              </w:rPr>
              <w:t xml:space="preserve">.  </w:t>
            </w:r>
          </w:p>
          <w:p w14:paraId="53B07D14" w14:textId="77777777" w:rsidR="00690494" w:rsidRPr="00677664" w:rsidRDefault="00690494" w:rsidP="00690494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  <w:p w14:paraId="34BB5BA8" w14:textId="3800D7CC" w:rsidR="00690494" w:rsidRPr="00677664" w:rsidRDefault="005E31CF" w:rsidP="00690494">
            <w:pPr>
              <w:rPr>
                <w:color w:val="008000"/>
                <w:lang w:val="en-GB"/>
              </w:rPr>
            </w:pPr>
            <w:r>
              <w:rPr>
                <w:color w:val="008000"/>
                <w:lang w:val="en-GB"/>
              </w:rPr>
              <w:t>SE</w:t>
            </w:r>
            <w:r w:rsidR="00690494" w:rsidRPr="00677664">
              <w:rPr>
                <w:color w:val="008000"/>
                <w:lang w:val="en-GB"/>
              </w:rPr>
              <w:t>1.1Early diagnosis</w:t>
            </w:r>
            <w:r w:rsidR="00A64409" w:rsidRPr="00677664">
              <w:rPr>
                <w:color w:val="008000"/>
                <w:lang w:val="en-GB"/>
              </w:rPr>
              <w:t xml:space="preserve"> </w:t>
            </w:r>
            <w:r w:rsidR="005B4055">
              <w:rPr>
                <w:color w:val="008000"/>
                <w:lang w:val="en-GB"/>
              </w:rPr>
              <w:t>requirements</w:t>
            </w:r>
            <w:r w:rsidR="000F6A15">
              <w:rPr>
                <w:color w:val="008000"/>
                <w:lang w:val="en-GB"/>
              </w:rPr>
              <w:t>.</w:t>
            </w:r>
          </w:p>
          <w:p w14:paraId="12B80B62" w14:textId="77777777" w:rsidR="00690494" w:rsidRPr="00677664" w:rsidRDefault="00690494" w:rsidP="00690494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  <w:p w14:paraId="39996FCA" w14:textId="6A6163C9" w:rsidR="00690494" w:rsidRPr="00677664" w:rsidRDefault="00690494" w:rsidP="00522AE6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  <w:r w:rsidRPr="00677664">
              <w:rPr>
                <w:b/>
                <w:lang w:val="en-GB"/>
              </w:rPr>
              <w:t xml:space="preserve">Public awareness </w:t>
            </w:r>
          </w:p>
          <w:p w14:paraId="6CD51B18" w14:textId="353E0537" w:rsidR="00690494" w:rsidRPr="00677664" w:rsidRDefault="00690494" w:rsidP="00522AE6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  <w:r w:rsidRPr="00677664">
              <w:rPr>
                <w:b/>
                <w:lang w:val="en-GB"/>
              </w:rPr>
              <w:t xml:space="preserve">Recognition and referral </w:t>
            </w:r>
          </w:p>
          <w:p w14:paraId="5A543441" w14:textId="7BDB5BB7" w:rsidR="00544E9E" w:rsidRPr="00677664" w:rsidRDefault="00544E9E" w:rsidP="00544E9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77664">
              <w:rPr>
                <w:b/>
                <w:bCs/>
                <w:lang w:val="en-GB"/>
              </w:rPr>
              <w:t xml:space="preserve">Lung Cancer Screening </w:t>
            </w:r>
            <w:r w:rsidR="00394C68">
              <w:rPr>
                <w:b/>
                <w:bCs/>
                <w:lang w:val="en-GB"/>
              </w:rPr>
              <w:t>(LCS)</w:t>
            </w:r>
          </w:p>
          <w:p w14:paraId="5314458C" w14:textId="77777777" w:rsidR="00690494" w:rsidRPr="00677664" w:rsidRDefault="00690494" w:rsidP="00690494">
            <w:pPr>
              <w:tabs>
                <w:tab w:val="center" w:pos="4320"/>
                <w:tab w:val="right" w:pos="8640"/>
              </w:tabs>
              <w:rPr>
                <w:b/>
                <w:lang w:val="en-GB"/>
              </w:rPr>
            </w:pPr>
          </w:p>
          <w:p w14:paraId="4BBCF835" w14:textId="3916BA96" w:rsidR="00690494" w:rsidRPr="00677664" w:rsidRDefault="005E31CF" w:rsidP="00690494">
            <w:pPr>
              <w:rPr>
                <w:color w:val="008000"/>
                <w:lang w:val="en-GB"/>
              </w:rPr>
            </w:pPr>
            <w:r>
              <w:rPr>
                <w:color w:val="008000"/>
                <w:lang w:val="en-GB"/>
              </w:rPr>
              <w:t>SE</w:t>
            </w:r>
            <w:r w:rsidR="00690494" w:rsidRPr="00677664">
              <w:rPr>
                <w:color w:val="008000"/>
                <w:lang w:val="en-GB"/>
              </w:rPr>
              <w:t>1.</w:t>
            </w:r>
            <w:r>
              <w:rPr>
                <w:color w:val="008000"/>
                <w:lang w:val="en-GB"/>
              </w:rPr>
              <w:t>2</w:t>
            </w:r>
            <w:r w:rsidR="00690494" w:rsidRPr="00677664">
              <w:rPr>
                <w:color w:val="008000"/>
                <w:lang w:val="en-GB"/>
              </w:rPr>
              <w:t xml:space="preserve"> </w:t>
            </w:r>
            <w:r w:rsidR="005B4055">
              <w:rPr>
                <w:color w:val="008000"/>
                <w:lang w:val="en-GB"/>
              </w:rPr>
              <w:t>Actions to r</w:t>
            </w:r>
            <w:r w:rsidR="00690494" w:rsidRPr="00677664">
              <w:rPr>
                <w:color w:val="008000"/>
                <w:lang w:val="en-GB"/>
              </w:rPr>
              <w:t>educ</w:t>
            </w:r>
            <w:r w:rsidR="00FA7759">
              <w:rPr>
                <w:color w:val="008000"/>
                <w:lang w:val="en-GB"/>
              </w:rPr>
              <w:t>e</w:t>
            </w:r>
            <w:r w:rsidR="00690494" w:rsidRPr="00677664">
              <w:rPr>
                <w:color w:val="008000"/>
                <w:lang w:val="en-GB"/>
              </w:rPr>
              <w:t xml:space="preserve"> variation</w:t>
            </w:r>
            <w:r w:rsidR="000F6A15">
              <w:rPr>
                <w:color w:val="008000"/>
                <w:lang w:val="en-GB"/>
              </w:rPr>
              <w:t>.</w:t>
            </w:r>
            <w:r w:rsidR="00A64409" w:rsidRPr="00677664">
              <w:rPr>
                <w:color w:val="008000"/>
                <w:lang w:val="en-GB"/>
              </w:rPr>
              <w:t xml:space="preserve"> </w:t>
            </w:r>
          </w:p>
          <w:p w14:paraId="2B8AD5C2" w14:textId="77777777" w:rsidR="00690494" w:rsidRPr="00677664" w:rsidRDefault="00690494" w:rsidP="00690494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  <w:p w14:paraId="0837386A" w14:textId="07EDDA23" w:rsidR="00690494" w:rsidRPr="00677664" w:rsidRDefault="005B4055" w:rsidP="00522AE6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Improve a</w:t>
            </w:r>
            <w:r w:rsidR="00690494" w:rsidRPr="00677664">
              <w:rPr>
                <w:b/>
                <w:lang w:val="en-GB"/>
              </w:rPr>
              <w:t xml:space="preserve">ccess to </w:t>
            </w:r>
            <w:r w:rsidR="002B3947" w:rsidRPr="00677664">
              <w:rPr>
                <w:b/>
                <w:lang w:val="en-GB"/>
              </w:rPr>
              <w:t>specialist</w:t>
            </w:r>
            <w:r w:rsidR="00690494" w:rsidRPr="00677664">
              <w:rPr>
                <w:b/>
                <w:lang w:val="en-GB"/>
              </w:rPr>
              <w:t xml:space="preserve"> care </w:t>
            </w:r>
          </w:p>
          <w:p w14:paraId="199B0F2F" w14:textId="3E50B867" w:rsidR="00B407DC" w:rsidRPr="00677664" w:rsidRDefault="00FA7759" w:rsidP="00B407DC">
            <w:pPr>
              <w:pStyle w:val="ListParagraph"/>
              <w:ind w:left="720"/>
              <w:rPr>
                <w:lang w:val="en-GB"/>
              </w:rPr>
            </w:pPr>
            <w:r>
              <w:rPr>
                <w:lang w:val="en-GB"/>
              </w:rPr>
              <w:t>See recommendations for the minimum</w:t>
            </w:r>
            <w:r w:rsidR="00690494" w:rsidRPr="00677664">
              <w:rPr>
                <w:lang w:val="en-GB"/>
              </w:rPr>
              <w:t xml:space="preserve"> amount of </w:t>
            </w:r>
            <w:r w:rsidR="002B3947" w:rsidRPr="00677664">
              <w:rPr>
                <w:lang w:val="en-GB"/>
              </w:rPr>
              <w:t>specialist</w:t>
            </w:r>
            <w:r w:rsidR="00690494" w:rsidRPr="00677664">
              <w:rPr>
                <w:lang w:val="en-GB"/>
              </w:rPr>
              <w:t xml:space="preserve"> time </w:t>
            </w:r>
            <w:r>
              <w:rPr>
                <w:lang w:val="en-GB"/>
              </w:rPr>
              <w:t>needed at all sites</w:t>
            </w:r>
          </w:p>
          <w:p w14:paraId="25763E58" w14:textId="77777777" w:rsidR="00B407DC" w:rsidRPr="00677664" w:rsidRDefault="00B407DC" w:rsidP="00B407DC">
            <w:pPr>
              <w:pStyle w:val="ListParagraph"/>
              <w:ind w:left="720"/>
              <w:rPr>
                <w:b/>
                <w:lang w:val="en-GB"/>
              </w:rPr>
            </w:pPr>
          </w:p>
          <w:p w14:paraId="46EB4CE0" w14:textId="0D5493D2" w:rsidR="00690494" w:rsidRPr="00677664" w:rsidRDefault="00690494" w:rsidP="00B407DC">
            <w:pPr>
              <w:pStyle w:val="ListParagraph"/>
              <w:numPr>
                <w:ilvl w:val="0"/>
                <w:numId w:val="3"/>
              </w:numPr>
              <w:rPr>
                <w:b/>
                <w:lang w:val="en-GB"/>
              </w:rPr>
            </w:pPr>
            <w:r w:rsidRPr="00677664">
              <w:rPr>
                <w:b/>
                <w:lang w:val="en-GB"/>
              </w:rPr>
              <w:t>Diagnosis and stag</w:t>
            </w:r>
            <w:r w:rsidR="00172C3D" w:rsidRPr="00677664">
              <w:rPr>
                <w:b/>
                <w:lang w:val="en-GB"/>
              </w:rPr>
              <w:t>ing</w:t>
            </w:r>
            <w:r w:rsidRPr="00677664">
              <w:rPr>
                <w:b/>
                <w:lang w:val="en-GB"/>
              </w:rPr>
              <w:t xml:space="preserve"> </w:t>
            </w:r>
          </w:p>
          <w:p w14:paraId="4AB93475" w14:textId="25127C1A" w:rsidR="00690494" w:rsidRPr="00677664" w:rsidRDefault="00FA7759" w:rsidP="00FA7759">
            <w:pPr>
              <w:pStyle w:val="ListParagraph"/>
              <w:ind w:left="720"/>
              <w:rPr>
                <w:lang w:val="en-GB"/>
              </w:rPr>
            </w:pPr>
            <w:r>
              <w:rPr>
                <w:lang w:val="en-GB"/>
              </w:rPr>
              <w:t xml:space="preserve">See recommendations for delivery of the </w:t>
            </w:r>
            <w:r w:rsidR="00544E9E" w:rsidRPr="00677664">
              <w:rPr>
                <w:lang w:val="en-GB"/>
              </w:rPr>
              <w:t xml:space="preserve">National Optimal Lung Cancer Pathway </w:t>
            </w:r>
            <w:r w:rsidR="00CD14C6">
              <w:rPr>
                <w:lang w:val="en-GB"/>
              </w:rPr>
              <w:t>(NOLCP)</w:t>
            </w:r>
          </w:p>
          <w:p w14:paraId="7810D8A2" w14:textId="77777777" w:rsidR="00826FAA" w:rsidRPr="00677664" w:rsidRDefault="00826FAA" w:rsidP="00826FAA">
            <w:pPr>
              <w:pStyle w:val="ListParagraph"/>
              <w:ind w:left="1440"/>
              <w:rPr>
                <w:lang w:val="en-GB"/>
              </w:rPr>
            </w:pPr>
          </w:p>
          <w:p w14:paraId="4049757C" w14:textId="38AC9BEC" w:rsidR="00A64409" w:rsidRPr="00FA7759" w:rsidRDefault="007A371E" w:rsidP="00FA7759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677664">
              <w:rPr>
                <w:b/>
                <w:lang w:val="en-GB"/>
              </w:rPr>
              <w:t xml:space="preserve">Treatment </w:t>
            </w:r>
          </w:p>
          <w:p w14:paraId="36EDC544" w14:textId="5BC29890" w:rsidR="00FA7759" w:rsidRPr="00FA7759" w:rsidRDefault="00FA7759" w:rsidP="00FA7759">
            <w:pPr>
              <w:pStyle w:val="ListParagraph"/>
              <w:ind w:left="720"/>
              <w:rPr>
                <w:bCs/>
                <w:lang w:val="en-GB"/>
              </w:rPr>
            </w:pPr>
            <w:r w:rsidRPr="00FA7759">
              <w:rPr>
                <w:bCs/>
                <w:lang w:val="en-GB"/>
              </w:rPr>
              <w:t>See recommendations for delivery of all treatments</w:t>
            </w:r>
            <w:r>
              <w:rPr>
                <w:bCs/>
                <w:lang w:val="en-GB"/>
              </w:rPr>
              <w:t>.</w:t>
            </w:r>
          </w:p>
          <w:p w14:paraId="71DEC3CF" w14:textId="77777777" w:rsidR="00FA7759" w:rsidRDefault="00FA7759" w:rsidP="00FA7759">
            <w:pPr>
              <w:pStyle w:val="ListParagraph"/>
              <w:ind w:left="720"/>
              <w:rPr>
                <w:b/>
                <w:bCs/>
                <w:lang w:val="en-GB"/>
              </w:rPr>
            </w:pPr>
          </w:p>
          <w:p w14:paraId="2E491B25" w14:textId="52C8868D" w:rsidR="00A67F2C" w:rsidRPr="00677664" w:rsidRDefault="00A67F2C" w:rsidP="00A67F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677664">
              <w:rPr>
                <w:b/>
                <w:bCs/>
                <w:lang w:val="en-GB"/>
              </w:rPr>
              <w:t>Equality considerations</w:t>
            </w:r>
          </w:p>
          <w:p w14:paraId="6D81FDAD" w14:textId="5700D378" w:rsidR="00A67F2C" w:rsidRPr="00677664" w:rsidRDefault="00A67F2C" w:rsidP="00A67F2C">
            <w:pPr>
              <w:pStyle w:val="ListParagraph"/>
              <w:ind w:left="720"/>
              <w:rPr>
                <w:lang w:val="en-GB"/>
              </w:rPr>
            </w:pPr>
            <w:r w:rsidRPr="00677664">
              <w:rPr>
                <w:lang w:val="en-GB"/>
              </w:rPr>
              <w:t xml:space="preserve">Ensure </w:t>
            </w:r>
            <w:r w:rsidR="00CD14C6">
              <w:rPr>
                <w:lang w:val="en-GB"/>
              </w:rPr>
              <w:t>the recommendations for</w:t>
            </w:r>
            <w:r w:rsidRPr="00677664">
              <w:rPr>
                <w:lang w:val="en-GB"/>
              </w:rPr>
              <w:t xml:space="preserve"> commission</w:t>
            </w:r>
            <w:r w:rsidR="00CD14C6">
              <w:rPr>
                <w:lang w:val="en-GB"/>
              </w:rPr>
              <w:t>ing services are implemented to</w:t>
            </w:r>
            <w:r w:rsidRPr="00677664">
              <w:rPr>
                <w:lang w:val="en-GB"/>
              </w:rPr>
              <w:t xml:space="preserve"> address health inequalities</w:t>
            </w:r>
            <w:r w:rsidR="00FA7759">
              <w:rPr>
                <w:lang w:val="en-GB"/>
              </w:rPr>
              <w:t>.</w:t>
            </w:r>
          </w:p>
          <w:p w14:paraId="6FEE4D71" w14:textId="77777777" w:rsidR="00690494" w:rsidRPr="00677664" w:rsidRDefault="00690494" w:rsidP="00690494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  <w:p w14:paraId="241DCBB5" w14:textId="22374F85" w:rsidR="00690494" w:rsidRPr="00677664" w:rsidRDefault="000F6A15" w:rsidP="00690494">
            <w:pPr>
              <w:rPr>
                <w:color w:val="008000"/>
                <w:lang w:val="en-GB"/>
              </w:rPr>
            </w:pPr>
            <w:r>
              <w:rPr>
                <w:color w:val="008000"/>
                <w:lang w:val="en-GB"/>
              </w:rPr>
              <w:t>SE</w:t>
            </w:r>
            <w:r w:rsidR="000F3311" w:rsidRPr="00677664">
              <w:rPr>
                <w:color w:val="008000"/>
                <w:lang w:val="en-GB"/>
              </w:rPr>
              <w:t>1</w:t>
            </w:r>
            <w:r>
              <w:rPr>
                <w:color w:val="008000"/>
                <w:lang w:val="en-GB"/>
              </w:rPr>
              <w:t>.</w:t>
            </w:r>
            <w:r w:rsidR="000F3311" w:rsidRPr="00677664">
              <w:rPr>
                <w:color w:val="008000"/>
                <w:lang w:val="en-GB"/>
              </w:rPr>
              <w:t xml:space="preserve">3 </w:t>
            </w:r>
            <w:r w:rsidR="00161AE4" w:rsidRPr="00677664">
              <w:rPr>
                <w:color w:val="008000"/>
                <w:lang w:val="en-GB"/>
              </w:rPr>
              <w:t xml:space="preserve">Living </w:t>
            </w:r>
            <w:r w:rsidR="00F71508" w:rsidRPr="00677664">
              <w:rPr>
                <w:color w:val="008000"/>
                <w:lang w:val="en-GB"/>
              </w:rPr>
              <w:t xml:space="preserve">with lung </w:t>
            </w:r>
            <w:r w:rsidR="00161AE4" w:rsidRPr="00677664">
              <w:rPr>
                <w:color w:val="008000"/>
                <w:lang w:val="en-GB"/>
              </w:rPr>
              <w:t>cancer</w:t>
            </w:r>
          </w:p>
          <w:p w14:paraId="261CA8B6" w14:textId="77777777" w:rsidR="00690494" w:rsidRPr="00677664" w:rsidRDefault="00690494" w:rsidP="00690494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  <w:p w14:paraId="6651A2A8" w14:textId="76E2EFB3" w:rsidR="00E00998" w:rsidRPr="000F6A15" w:rsidRDefault="00FA7759" w:rsidP="00CF3DC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n-GB"/>
              </w:rPr>
            </w:pPr>
            <w:r w:rsidRPr="000F6A15">
              <w:rPr>
                <w:b/>
                <w:bCs/>
                <w:lang w:val="en-GB"/>
              </w:rPr>
              <w:t>See recommendations for supporting patients throughout their survivorship</w:t>
            </w:r>
          </w:p>
        </w:tc>
      </w:tr>
      <w:tr w:rsidR="0099506F" w:rsidRPr="00CC0101" w14:paraId="46936A32" w14:textId="77777777" w:rsidTr="00394C68">
        <w:tblPrEx>
          <w:tblLook w:val="04A0" w:firstRow="1" w:lastRow="0" w:firstColumn="1" w:lastColumn="0" w:noHBand="0" w:noVBand="1"/>
        </w:tblPrEx>
        <w:tc>
          <w:tcPr>
            <w:tcW w:w="9161" w:type="dxa"/>
            <w:gridSpan w:val="2"/>
            <w:shd w:val="clear" w:color="auto" w:fill="7F7F7F" w:themeFill="text1" w:themeFillTint="80"/>
          </w:tcPr>
          <w:p w14:paraId="15BB1EA5" w14:textId="73860C14" w:rsidR="0099506F" w:rsidRPr="00CC0101" w:rsidRDefault="000F6A15" w:rsidP="00FA7759">
            <w:pPr>
              <w:tabs>
                <w:tab w:val="left" w:pos="2127"/>
              </w:tabs>
              <w:ind w:left="108"/>
              <w:rPr>
                <w:b/>
                <w:color w:val="F79646" w:themeColor="accent6"/>
                <w:spacing w:val="-1"/>
              </w:rPr>
            </w:pPr>
            <w:r>
              <w:rPr>
                <w:b/>
                <w:color w:val="F79646" w:themeColor="accent6"/>
                <w:spacing w:val="-1"/>
              </w:rPr>
              <w:t>SE2.0</w:t>
            </w:r>
            <w:r w:rsidR="0099506F" w:rsidRPr="00CC0101">
              <w:rPr>
                <w:b/>
                <w:color w:val="F79646" w:themeColor="accent6"/>
                <w:spacing w:val="-1"/>
              </w:rPr>
              <w:t xml:space="preserve"> </w:t>
            </w:r>
            <w:r w:rsidR="007203D7" w:rsidRPr="00CC0101">
              <w:rPr>
                <w:b/>
                <w:color w:val="F79646" w:themeColor="accent6"/>
                <w:spacing w:val="-1"/>
              </w:rPr>
              <w:t xml:space="preserve">Essential </w:t>
            </w:r>
            <w:r w:rsidR="00DA4D7F">
              <w:rPr>
                <w:b/>
                <w:color w:val="F79646" w:themeColor="accent6"/>
                <w:spacing w:val="-1"/>
              </w:rPr>
              <w:t>service specification</w:t>
            </w:r>
            <w:r w:rsidR="007203D7" w:rsidRPr="00CC0101">
              <w:rPr>
                <w:b/>
                <w:color w:val="F79646" w:themeColor="accent6"/>
                <w:spacing w:val="-1"/>
              </w:rPr>
              <w:t xml:space="preserve"> for commissioning</w:t>
            </w:r>
          </w:p>
        </w:tc>
      </w:tr>
      <w:tr w:rsidR="0099506F" w:rsidRPr="00CC0101" w14:paraId="783E23C5" w14:textId="77777777" w:rsidTr="00394C68">
        <w:tblPrEx>
          <w:tblLook w:val="04A0" w:firstRow="1" w:lastRow="0" w:firstColumn="1" w:lastColumn="0" w:noHBand="0" w:noVBand="1"/>
        </w:tblPrEx>
        <w:tc>
          <w:tcPr>
            <w:tcW w:w="9161" w:type="dxa"/>
            <w:gridSpan w:val="2"/>
          </w:tcPr>
          <w:p w14:paraId="0009B256" w14:textId="77777777" w:rsidR="0099506F" w:rsidRPr="00FA7759" w:rsidRDefault="0099506F" w:rsidP="00FA7759">
            <w:pPr>
              <w:pStyle w:val="BodyText"/>
              <w:tabs>
                <w:tab w:val="left" w:pos="2127"/>
                <w:tab w:val="center" w:pos="4320"/>
                <w:tab w:val="right" w:pos="8640"/>
              </w:tabs>
              <w:rPr>
                <w:spacing w:val="1"/>
                <w:lang w:val="en-GB"/>
              </w:rPr>
            </w:pPr>
          </w:p>
          <w:p w14:paraId="0F0B363B" w14:textId="2F5E5614" w:rsidR="00220B7F" w:rsidRPr="00885501" w:rsidRDefault="00885501" w:rsidP="00885501">
            <w:pPr>
              <w:tabs>
                <w:tab w:val="left" w:pos="2127"/>
              </w:tabs>
              <w:rPr>
                <w:bCs/>
                <w:color w:val="008000"/>
                <w:lang w:val="en-GB"/>
              </w:rPr>
            </w:pPr>
            <w:r>
              <w:rPr>
                <w:bCs/>
                <w:color w:val="008000"/>
                <w:lang w:val="en-GB"/>
              </w:rPr>
              <w:t xml:space="preserve">SE2.1 </w:t>
            </w:r>
            <w:r w:rsidR="00220B7F" w:rsidRPr="00885501">
              <w:rPr>
                <w:bCs/>
                <w:color w:val="008000"/>
                <w:lang w:val="en-GB"/>
              </w:rPr>
              <w:t>Public awareness</w:t>
            </w:r>
          </w:p>
          <w:p w14:paraId="3C2C36A0" w14:textId="77777777" w:rsidR="00220B7F" w:rsidRPr="00677664" w:rsidRDefault="00220B7F" w:rsidP="00FA7759">
            <w:pPr>
              <w:tabs>
                <w:tab w:val="left" w:pos="2127"/>
                <w:tab w:val="center" w:pos="4320"/>
                <w:tab w:val="right" w:pos="8640"/>
              </w:tabs>
              <w:rPr>
                <w:lang w:val="en-GB"/>
              </w:rPr>
            </w:pPr>
          </w:p>
          <w:p w14:paraId="50ECF228" w14:textId="7E049CCA" w:rsidR="00B41B30" w:rsidRPr="00677664" w:rsidRDefault="007203D7" w:rsidP="00FA7759">
            <w:pPr>
              <w:tabs>
                <w:tab w:val="left" w:pos="2127"/>
              </w:tabs>
              <w:rPr>
                <w:lang w:val="en-GB"/>
              </w:rPr>
            </w:pPr>
            <w:r w:rsidRPr="00677664">
              <w:rPr>
                <w:lang w:val="en-GB"/>
              </w:rPr>
              <w:t>The service must be supported by local</w:t>
            </w:r>
            <w:r w:rsidR="00220B7F" w:rsidRPr="00677664">
              <w:rPr>
                <w:lang w:val="en-GB"/>
              </w:rPr>
              <w:t>, coordinated campaigns that increase public awareness of the symptoms and signs of lung cancer</w:t>
            </w:r>
            <w:r w:rsidR="006621E0">
              <w:rPr>
                <w:lang w:val="en-GB"/>
              </w:rPr>
              <w:t xml:space="preserve"> (LC)</w:t>
            </w:r>
            <w:r w:rsidR="0005430C" w:rsidRPr="00677664">
              <w:rPr>
                <w:lang w:val="en-GB"/>
              </w:rPr>
              <w:t>, and the benefits of making the diagnosis</w:t>
            </w:r>
            <w:r w:rsidR="00FA7759">
              <w:rPr>
                <w:lang w:val="en-GB"/>
              </w:rPr>
              <w:t>.</w:t>
            </w:r>
            <w:r w:rsidR="00220B7F" w:rsidRPr="00677664">
              <w:rPr>
                <w:lang w:val="en-GB"/>
              </w:rPr>
              <w:t xml:space="preserve"> </w:t>
            </w:r>
          </w:p>
          <w:p w14:paraId="435E6C31" w14:textId="77777777" w:rsidR="00B41B30" w:rsidRPr="00677664" w:rsidRDefault="00B41B30" w:rsidP="00FA7759">
            <w:pPr>
              <w:tabs>
                <w:tab w:val="left" w:pos="2127"/>
              </w:tabs>
              <w:rPr>
                <w:lang w:val="en-GB"/>
              </w:rPr>
            </w:pPr>
          </w:p>
          <w:p w14:paraId="04388FDE" w14:textId="3E0EFF33" w:rsidR="00220B7F" w:rsidRPr="00885501" w:rsidRDefault="00885501" w:rsidP="00FA7759">
            <w:pPr>
              <w:tabs>
                <w:tab w:val="left" w:pos="2127"/>
              </w:tabs>
              <w:rPr>
                <w:color w:val="63905B"/>
                <w:lang w:val="en-GB"/>
              </w:rPr>
            </w:pPr>
            <w:r w:rsidRPr="00885501">
              <w:rPr>
                <w:color w:val="63905B"/>
                <w:lang w:val="en-GB"/>
              </w:rPr>
              <w:t>SE2.2</w:t>
            </w:r>
            <w:r w:rsidR="00B41B30" w:rsidRPr="00885501">
              <w:rPr>
                <w:color w:val="63905B"/>
                <w:lang w:val="en-GB"/>
              </w:rPr>
              <w:t xml:space="preserve"> </w:t>
            </w:r>
            <w:r w:rsidR="00220B7F" w:rsidRPr="00885501">
              <w:rPr>
                <w:color w:val="63905B"/>
                <w:lang w:val="en-GB"/>
              </w:rPr>
              <w:t xml:space="preserve">Recognition and referral </w:t>
            </w:r>
          </w:p>
          <w:p w14:paraId="08F3E6EF" w14:textId="77777777" w:rsidR="00220B7F" w:rsidRPr="00677664" w:rsidRDefault="00220B7F" w:rsidP="00FA7759">
            <w:pPr>
              <w:tabs>
                <w:tab w:val="left" w:pos="2127"/>
                <w:tab w:val="center" w:pos="4320"/>
                <w:tab w:val="right" w:pos="8640"/>
              </w:tabs>
              <w:rPr>
                <w:lang w:val="en-GB"/>
              </w:rPr>
            </w:pPr>
          </w:p>
          <w:p w14:paraId="758919B9" w14:textId="4132E445" w:rsidR="005E31CF" w:rsidRDefault="005E31CF" w:rsidP="00FA7759">
            <w:pPr>
              <w:tabs>
                <w:tab w:val="left" w:pos="2127"/>
              </w:tabs>
              <w:rPr>
                <w:lang w:val="en-GB"/>
              </w:rPr>
            </w:pPr>
            <w:r>
              <w:rPr>
                <w:lang w:val="en-GB"/>
              </w:rPr>
              <w:t xml:space="preserve">Recommended methods include: </w:t>
            </w:r>
          </w:p>
          <w:p w14:paraId="0E8C6D40" w14:textId="7AC6ECE0" w:rsidR="005E31CF" w:rsidRDefault="005E31CF" w:rsidP="00CD14C6">
            <w:pPr>
              <w:tabs>
                <w:tab w:val="left" w:pos="2127"/>
              </w:tabs>
              <w:ind w:left="593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220B7F" w:rsidRPr="00677664">
              <w:rPr>
                <w:lang w:val="en-GB"/>
              </w:rPr>
              <w:t xml:space="preserve">rimary </w:t>
            </w:r>
            <w:proofErr w:type="gramStart"/>
            <w:r w:rsidR="00220B7F" w:rsidRPr="00677664">
              <w:rPr>
                <w:lang w:val="en-GB"/>
              </w:rPr>
              <w:t>care</w:t>
            </w:r>
            <w:r w:rsidR="00253F62" w:rsidRPr="00677664">
              <w:rPr>
                <w:lang w:val="en-GB"/>
              </w:rPr>
              <w:t xml:space="preserve"> based</w:t>
            </w:r>
            <w:proofErr w:type="gramEnd"/>
            <w:r w:rsidR="00253F62" w:rsidRPr="00677664">
              <w:rPr>
                <w:lang w:val="en-GB"/>
              </w:rPr>
              <w:t xml:space="preserve"> assessment of risk of </w:t>
            </w:r>
            <w:r w:rsidR="006621E0">
              <w:rPr>
                <w:lang w:val="en-GB"/>
              </w:rPr>
              <w:t>LC</w:t>
            </w:r>
            <w:r w:rsidR="00253F62" w:rsidRPr="00677664">
              <w:rPr>
                <w:lang w:val="en-GB"/>
              </w:rPr>
              <w:t xml:space="preserve"> </w:t>
            </w:r>
          </w:p>
          <w:p w14:paraId="0FBBAE34" w14:textId="62A2FE6E" w:rsidR="005E31CF" w:rsidRDefault="005E31CF" w:rsidP="00CD14C6">
            <w:pPr>
              <w:tabs>
                <w:tab w:val="left" w:pos="2127"/>
              </w:tabs>
              <w:ind w:left="593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53F62" w:rsidRPr="00677664">
              <w:rPr>
                <w:lang w:val="en-GB"/>
              </w:rPr>
              <w:t>he latest</w:t>
            </w:r>
            <w:r w:rsidR="00220B7F" w:rsidRPr="00677664">
              <w:rPr>
                <w:lang w:val="en-GB"/>
              </w:rPr>
              <w:t xml:space="preserve"> </w:t>
            </w:r>
            <w:r w:rsidR="00A4530B" w:rsidRPr="00677664">
              <w:rPr>
                <w:lang w:val="en-GB"/>
              </w:rPr>
              <w:t xml:space="preserve">decision support </w:t>
            </w:r>
            <w:r w:rsidR="00220B7F" w:rsidRPr="00677664">
              <w:rPr>
                <w:lang w:val="en-GB"/>
              </w:rPr>
              <w:t xml:space="preserve">tools </w:t>
            </w:r>
          </w:p>
          <w:p w14:paraId="5B6F5086" w14:textId="77777777" w:rsidR="005E31CF" w:rsidRDefault="005E31CF" w:rsidP="00CD14C6">
            <w:pPr>
              <w:tabs>
                <w:tab w:val="left" w:pos="2127"/>
              </w:tabs>
              <w:ind w:left="593"/>
              <w:rPr>
                <w:lang w:val="en-GB"/>
              </w:rPr>
            </w:pPr>
            <w:r>
              <w:rPr>
                <w:lang w:val="en-GB"/>
              </w:rPr>
              <w:t xml:space="preserve">Rapid referral for imaging and prompt action (within 2 weeks) </w:t>
            </w:r>
          </w:p>
          <w:p w14:paraId="1EACA3D0" w14:textId="34E6F4AA" w:rsidR="005E31CF" w:rsidRDefault="00022127" w:rsidP="00CD14C6">
            <w:pPr>
              <w:tabs>
                <w:tab w:val="left" w:pos="2127"/>
              </w:tabs>
              <w:ind w:left="593"/>
              <w:rPr>
                <w:lang w:val="en-GB"/>
              </w:rPr>
            </w:pPr>
            <w:r w:rsidRPr="00677664">
              <w:rPr>
                <w:lang w:val="en-GB"/>
              </w:rPr>
              <w:t>Direct referral for CT fr</w:t>
            </w:r>
            <w:r w:rsidR="006939A6" w:rsidRPr="00677664">
              <w:rPr>
                <w:lang w:val="en-GB"/>
              </w:rPr>
              <w:t>om primary care supported by an</w:t>
            </w:r>
            <w:r w:rsidRPr="00677664">
              <w:rPr>
                <w:lang w:val="en-GB"/>
              </w:rPr>
              <w:t xml:space="preserve"> agreed protocol</w:t>
            </w:r>
            <w:r w:rsidR="005E31CF">
              <w:rPr>
                <w:lang w:val="en-GB"/>
              </w:rPr>
              <w:t>.</w:t>
            </w:r>
          </w:p>
          <w:p w14:paraId="0FBFC46B" w14:textId="263E6253" w:rsidR="005E31CF" w:rsidRDefault="00F25FFC" w:rsidP="00CD14C6">
            <w:pPr>
              <w:tabs>
                <w:tab w:val="left" w:pos="2127"/>
              </w:tabs>
              <w:ind w:left="593"/>
              <w:rPr>
                <w:lang w:val="en-GB"/>
              </w:rPr>
            </w:pPr>
            <w:r w:rsidRPr="00677664">
              <w:rPr>
                <w:lang w:val="en-GB"/>
              </w:rPr>
              <w:t xml:space="preserve">Cancer concern hotlines </w:t>
            </w:r>
            <w:r w:rsidR="005E31CF">
              <w:rPr>
                <w:lang w:val="en-GB"/>
              </w:rPr>
              <w:t>(with in</w:t>
            </w:r>
            <w:r w:rsidR="00CD14C6">
              <w:rPr>
                <w:lang w:val="en-GB"/>
              </w:rPr>
              <w:t>-</w:t>
            </w:r>
            <w:r w:rsidR="005E31CF">
              <w:rPr>
                <w:lang w:val="en-GB"/>
              </w:rPr>
              <w:t>service evaluation).</w:t>
            </w:r>
          </w:p>
          <w:p w14:paraId="64DCF033" w14:textId="6F3BE933" w:rsidR="005E31CF" w:rsidRDefault="005E31CF" w:rsidP="00CD14C6">
            <w:pPr>
              <w:tabs>
                <w:tab w:val="left" w:pos="2127"/>
              </w:tabs>
              <w:ind w:left="593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F25FFC" w:rsidRPr="00677664">
              <w:rPr>
                <w:lang w:val="en-GB"/>
              </w:rPr>
              <w:t>elf</w:t>
            </w:r>
            <w:r w:rsidR="00B41B30" w:rsidRPr="00677664">
              <w:rPr>
                <w:lang w:val="en-GB"/>
              </w:rPr>
              <w:t>-</w:t>
            </w:r>
            <w:r w:rsidR="00F25FFC" w:rsidRPr="00677664">
              <w:rPr>
                <w:lang w:val="en-GB"/>
              </w:rPr>
              <w:t xml:space="preserve">referral for chest X-ray </w:t>
            </w:r>
            <w:r>
              <w:rPr>
                <w:lang w:val="en-GB"/>
              </w:rPr>
              <w:t>(with in</w:t>
            </w:r>
            <w:r w:rsidR="00CD14C6">
              <w:rPr>
                <w:lang w:val="en-GB"/>
              </w:rPr>
              <w:t>-</w:t>
            </w:r>
            <w:r>
              <w:rPr>
                <w:lang w:val="en-GB"/>
              </w:rPr>
              <w:t>service evaluation)</w:t>
            </w:r>
            <w:r w:rsidR="00F25FFC" w:rsidRPr="00677664">
              <w:rPr>
                <w:lang w:val="en-GB"/>
              </w:rPr>
              <w:t xml:space="preserve">. </w:t>
            </w:r>
          </w:p>
          <w:p w14:paraId="5F679F1F" w14:textId="23B93617" w:rsidR="00220B7F" w:rsidRDefault="00903630" w:rsidP="00CD14C6">
            <w:pPr>
              <w:tabs>
                <w:tab w:val="left" w:pos="2127"/>
              </w:tabs>
              <w:ind w:left="593"/>
              <w:rPr>
                <w:lang w:val="en-GB"/>
              </w:rPr>
            </w:pPr>
            <w:r>
              <w:rPr>
                <w:lang w:val="en-GB"/>
              </w:rPr>
              <w:t xml:space="preserve">Appropriate safety netting for those with persistent symptoms. </w:t>
            </w:r>
          </w:p>
          <w:p w14:paraId="6CA5C7F3" w14:textId="77777777" w:rsidR="00B9276C" w:rsidRPr="00677664" w:rsidRDefault="00B9276C" w:rsidP="00B9276C">
            <w:pPr>
              <w:tabs>
                <w:tab w:val="left" w:pos="2127"/>
              </w:tabs>
              <w:rPr>
                <w:lang w:val="en-GB"/>
              </w:rPr>
            </w:pPr>
          </w:p>
          <w:p w14:paraId="255047DF" w14:textId="614617AF" w:rsidR="00220B7F" w:rsidRPr="000F6A15" w:rsidRDefault="00885501" w:rsidP="00FA7759">
            <w:pPr>
              <w:tabs>
                <w:tab w:val="left" w:pos="2127"/>
              </w:tabs>
              <w:rPr>
                <w:bCs/>
                <w:color w:val="008000"/>
                <w:lang w:val="en-GB"/>
              </w:rPr>
            </w:pPr>
            <w:r>
              <w:rPr>
                <w:bCs/>
                <w:color w:val="008000"/>
                <w:lang w:val="en-GB"/>
              </w:rPr>
              <w:t>SE2.3</w:t>
            </w:r>
            <w:r w:rsidR="0073027A" w:rsidRPr="000F6A15">
              <w:rPr>
                <w:bCs/>
                <w:color w:val="008000"/>
                <w:lang w:val="en-GB"/>
              </w:rPr>
              <w:t xml:space="preserve"> </w:t>
            </w:r>
            <w:r w:rsidR="00220B7F" w:rsidRPr="00885501">
              <w:rPr>
                <w:bCs/>
                <w:color w:val="008000"/>
                <w:lang w:val="en-GB"/>
              </w:rPr>
              <w:t>Access</w:t>
            </w:r>
            <w:r w:rsidR="00220B7F" w:rsidRPr="000F6A15">
              <w:rPr>
                <w:bCs/>
                <w:color w:val="008000"/>
                <w:lang w:val="en-GB"/>
              </w:rPr>
              <w:t xml:space="preserve"> to</w:t>
            </w:r>
            <w:r w:rsidR="002232D8" w:rsidRPr="000F6A15">
              <w:rPr>
                <w:bCs/>
                <w:color w:val="008000"/>
                <w:lang w:val="en-GB"/>
              </w:rPr>
              <w:t xml:space="preserve"> </w:t>
            </w:r>
            <w:r w:rsidR="002B3947" w:rsidRPr="000F6A15">
              <w:rPr>
                <w:bCs/>
                <w:color w:val="008000"/>
                <w:lang w:val="en-GB"/>
              </w:rPr>
              <w:t>specialist</w:t>
            </w:r>
            <w:r w:rsidR="002232D8" w:rsidRPr="000F6A15">
              <w:rPr>
                <w:bCs/>
                <w:color w:val="008000"/>
                <w:lang w:val="en-GB"/>
              </w:rPr>
              <w:t xml:space="preserve"> care</w:t>
            </w:r>
          </w:p>
          <w:p w14:paraId="13E20729" w14:textId="77777777" w:rsidR="00220B7F" w:rsidRPr="00677664" w:rsidRDefault="00220B7F" w:rsidP="00FA7759">
            <w:pPr>
              <w:tabs>
                <w:tab w:val="left" w:pos="2127"/>
                <w:tab w:val="center" w:pos="4320"/>
                <w:tab w:val="right" w:pos="8640"/>
              </w:tabs>
              <w:rPr>
                <w:lang w:val="en-GB"/>
              </w:rPr>
            </w:pPr>
          </w:p>
          <w:p w14:paraId="6DF23605" w14:textId="612F743E" w:rsidR="00110C74" w:rsidRPr="00677664" w:rsidRDefault="00EE1470" w:rsidP="00FA7759">
            <w:pPr>
              <w:tabs>
                <w:tab w:val="left" w:pos="2127"/>
              </w:tabs>
              <w:rPr>
                <w:lang w:val="en-GB"/>
              </w:rPr>
            </w:pPr>
            <w:r w:rsidRPr="00677664">
              <w:rPr>
                <w:lang w:val="en-GB"/>
              </w:rPr>
              <w:t xml:space="preserve">Providing adequate specialist time supports recommendations that reduce variation in access to the </w:t>
            </w:r>
            <w:r w:rsidRPr="00677664">
              <w:rPr>
                <w:lang w:val="en-GB"/>
              </w:rPr>
              <w:lastRenderedPageBreak/>
              <w:t>bes</w:t>
            </w:r>
            <w:r w:rsidR="00C93DDF" w:rsidRPr="00677664">
              <w:rPr>
                <w:lang w:val="en-GB"/>
              </w:rPr>
              <w:t>t and most cost</w:t>
            </w:r>
            <w:r w:rsidR="00612DBE" w:rsidRPr="00677664">
              <w:rPr>
                <w:lang w:val="en-GB"/>
              </w:rPr>
              <w:t>-</w:t>
            </w:r>
            <w:r w:rsidR="00C93DDF" w:rsidRPr="00677664">
              <w:rPr>
                <w:lang w:val="en-GB"/>
              </w:rPr>
              <w:t>effective care</w:t>
            </w:r>
            <w:r w:rsidR="0079548A">
              <w:rPr>
                <w:lang w:val="en-GB"/>
              </w:rPr>
              <w:t xml:space="preserve"> thereby being the best use of resources</w:t>
            </w:r>
            <w:r w:rsidR="00C93DDF" w:rsidRPr="00677664">
              <w:rPr>
                <w:lang w:val="en-GB"/>
              </w:rPr>
              <w:t>.</w:t>
            </w:r>
            <w:r w:rsidR="00394C68">
              <w:rPr>
                <w:lang w:val="en-GB"/>
              </w:rPr>
              <w:t xml:space="preserve"> </w:t>
            </w:r>
            <w:r w:rsidR="00766BD9">
              <w:rPr>
                <w:lang w:val="en-GB"/>
              </w:rPr>
              <w:t>C</w:t>
            </w:r>
            <w:r w:rsidR="005F7741" w:rsidRPr="00677664">
              <w:rPr>
                <w:lang w:val="en-GB"/>
              </w:rPr>
              <w:t xml:space="preserve">linicians </w:t>
            </w:r>
            <w:r w:rsidR="00766BD9">
              <w:rPr>
                <w:lang w:val="en-GB"/>
              </w:rPr>
              <w:t xml:space="preserve">or patients </w:t>
            </w:r>
            <w:r w:rsidR="00110C74" w:rsidRPr="00677664">
              <w:rPr>
                <w:lang w:val="en-GB"/>
              </w:rPr>
              <w:t>may need to travel to different hospitals to ensure equity of access to specialist care. Where it is necessary for patients to travel due to the location of speciali</w:t>
            </w:r>
            <w:r w:rsidR="00612DBE" w:rsidRPr="00677664">
              <w:rPr>
                <w:lang w:val="en-GB"/>
              </w:rPr>
              <w:t>s</w:t>
            </w:r>
            <w:r w:rsidR="00110C74" w:rsidRPr="00677664">
              <w:rPr>
                <w:lang w:val="en-GB"/>
              </w:rPr>
              <w:t>ed equipment and services there should be standardised national mechanisms for easy and equitable reimbursement for costs incurred by patients and carers</w:t>
            </w:r>
            <w:r w:rsidR="00862370" w:rsidRPr="00677664">
              <w:rPr>
                <w:lang w:val="en-GB"/>
              </w:rPr>
              <w:t>.</w:t>
            </w:r>
          </w:p>
          <w:p w14:paraId="555350A4" w14:textId="77777777" w:rsidR="005E31CF" w:rsidRDefault="005E31CF" w:rsidP="00FA7759">
            <w:pPr>
              <w:tabs>
                <w:tab w:val="left" w:pos="2127"/>
              </w:tabs>
              <w:rPr>
                <w:lang w:val="en-GB"/>
              </w:rPr>
            </w:pPr>
          </w:p>
          <w:p w14:paraId="7111253E" w14:textId="77777777" w:rsidR="00394C68" w:rsidRDefault="00394C68" w:rsidP="00FA7759">
            <w:pPr>
              <w:tabs>
                <w:tab w:val="left" w:pos="2127"/>
              </w:tabs>
              <w:rPr>
                <w:lang w:val="en-GB"/>
              </w:rPr>
            </w:pPr>
            <w:r w:rsidRPr="00394C68">
              <w:rPr>
                <w:b/>
                <w:bCs/>
                <w:lang w:val="en-GB"/>
              </w:rPr>
              <w:t>Minimum clinical time commitments</w:t>
            </w:r>
            <w:r>
              <w:rPr>
                <w:lang w:val="en-GB"/>
              </w:rPr>
              <w:t xml:space="preserve"> </w:t>
            </w:r>
          </w:p>
          <w:p w14:paraId="392C6C52" w14:textId="0E5A0511" w:rsidR="00766BD9" w:rsidRDefault="00766BD9" w:rsidP="00FA7759">
            <w:pPr>
              <w:tabs>
                <w:tab w:val="left" w:pos="2127"/>
              </w:tabs>
              <w:rPr>
                <w:lang w:val="en-GB"/>
              </w:rPr>
            </w:pPr>
            <w:r>
              <w:rPr>
                <w:lang w:val="en-GB"/>
              </w:rPr>
              <w:t xml:space="preserve">The time commitments </w:t>
            </w:r>
            <w:r w:rsidR="00394C68">
              <w:rPr>
                <w:lang w:val="en-GB"/>
              </w:rPr>
              <w:t xml:space="preserve">below </w:t>
            </w:r>
            <w:r>
              <w:rPr>
                <w:lang w:val="en-GB"/>
              </w:rPr>
              <w:t xml:space="preserve">are mostly given in relation to </w:t>
            </w:r>
            <w:r w:rsidRPr="00766BD9">
              <w:rPr>
                <w:b/>
                <w:bCs/>
                <w:lang w:val="en-GB"/>
              </w:rPr>
              <w:t xml:space="preserve">the number of new patients diagnosed with </w:t>
            </w:r>
            <w:r w:rsidR="006621E0">
              <w:rPr>
                <w:b/>
                <w:bCs/>
                <w:lang w:val="en-GB"/>
              </w:rPr>
              <w:t>LC</w:t>
            </w:r>
            <w:r w:rsidRPr="00766BD9">
              <w:rPr>
                <w:b/>
                <w:bCs/>
                <w:lang w:val="en-GB"/>
              </w:rPr>
              <w:t xml:space="preserve"> each year per </w:t>
            </w:r>
            <w:r>
              <w:rPr>
                <w:b/>
                <w:bCs/>
                <w:lang w:val="en-GB"/>
              </w:rPr>
              <w:t>secondary care provider</w:t>
            </w:r>
            <w:r>
              <w:rPr>
                <w:lang w:val="en-GB"/>
              </w:rPr>
              <w:t>. Where a service (tertiary) provides services to more than one provider (e.g. thoracic surgery) the number of new patients</w:t>
            </w:r>
            <w:r w:rsidRPr="00766BD9">
              <w:rPr>
                <w:b/>
                <w:bCs/>
                <w:lang w:val="en-GB"/>
              </w:rPr>
              <w:t xml:space="preserve"> is the sum of the number of diagnoses in the </w:t>
            </w:r>
            <w:r>
              <w:rPr>
                <w:b/>
                <w:bCs/>
                <w:lang w:val="en-GB"/>
              </w:rPr>
              <w:t>providers</w:t>
            </w:r>
            <w:r w:rsidRPr="00766BD9">
              <w:rPr>
                <w:b/>
                <w:bCs/>
                <w:lang w:val="en-GB"/>
              </w:rPr>
              <w:t xml:space="preserve"> served</w:t>
            </w:r>
            <w:r>
              <w:rPr>
                <w:lang w:val="en-GB"/>
              </w:rPr>
              <w:t xml:space="preserve"> (or the proportion served if there is more than one tertiary service). Please see full commissioning guidance for detail on the derivation.</w:t>
            </w:r>
          </w:p>
          <w:p w14:paraId="3A5972E7" w14:textId="77777777" w:rsidR="00225E1E" w:rsidRPr="00677664" w:rsidRDefault="00225E1E" w:rsidP="00FA7759">
            <w:pPr>
              <w:tabs>
                <w:tab w:val="left" w:pos="2127"/>
              </w:tabs>
              <w:rPr>
                <w:rFonts w:eastAsia="Arial"/>
                <w:lang w:val="en-GB"/>
              </w:rPr>
            </w:pPr>
          </w:p>
          <w:p w14:paraId="1499DF5D" w14:textId="77777777" w:rsidR="00225E1E" w:rsidRPr="00677664" w:rsidRDefault="00225E1E" w:rsidP="00FA7759">
            <w:p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>For each secondary care provider, there should be access to:</w:t>
            </w:r>
          </w:p>
          <w:p w14:paraId="6E1AA549" w14:textId="77777777" w:rsidR="00225E1E" w:rsidRPr="00677664" w:rsidRDefault="00225E1E" w:rsidP="00FA7759">
            <w:pPr>
              <w:tabs>
                <w:tab w:val="left" w:pos="2127"/>
              </w:tabs>
              <w:rPr>
                <w:rFonts w:eastAsia="Arial"/>
                <w:lang w:val="en-GB"/>
              </w:rPr>
            </w:pPr>
          </w:p>
          <w:p w14:paraId="0F43CBB2" w14:textId="744A4F1A" w:rsidR="00225E1E" w:rsidRPr="00677664" w:rsidRDefault="00225E1E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 xml:space="preserve">10 direct clinical care (DCC) respiratory physician PAs per 200 new </w:t>
            </w:r>
            <w:r w:rsidR="006621E0">
              <w:rPr>
                <w:rFonts w:eastAsia="Arial"/>
                <w:lang w:val="en-GB"/>
              </w:rPr>
              <w:t>LC</w:t>
            </w:r>
            <w:r w:rsidR="00881021">
              <w:rPr>
                <w:rFonts w:eastAsia="Arial"/>
                <w:lang w:val="en-GB"/>
              </w:rPr>
              <w:t xml:space="preserve"> patients</w:t>
            </w:r>
            <w:r w:rsidRPr="00677664">
              <w:rPr>
                <w:rFonts w:eastAsia="Arial"/>
                <w:lang w:val="en-GB"/>
              </w:rPr>
              <w:t xml:space="preserve"> per year and 1 DCC PA per 30 participants in the LCS programme referred to secondary care (work-up or discussion).</w:t>
            </w:r>
          </w:p>
          <w:p w14:paraId="36EA2DFA" w14:textId="77777777" w:rsidR="00225E1E" w:rsidRPr="00677664" w:rsidRDefault="00225E1E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>A first appointment at the local hospital with a respiratory physician</w:t>
            </w:r>
          </w:p>
          <w:p w14:paraId="50F2A025" w14:textId="5210B933" w:rsidR="00225E1E" w:rsidRPr="00677664" w:rsidRDefault="00D73B5D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225E1E" w:rsidRPr="00677664">
              <w:rPr>
                <w:lang w:val="en-GB"/>
              </w:rPr>
              <w:t xml:space="preserve"> DCC thoracic radiologist PAs per 200 new </w:t>
            </w:r>
            <w:r w:rsidR="006621E0">
              <w:rPr>
                <w:lang w:val="en-GB"/>
              </w:rPr>
              <w:t>LC</w:t>
            </w:r>
            <w:r w:rsidR="00225E1E" w:rsidRPr="00677664">
              <w:rPr>
                <w:lang w:val="en-GB"/>
              </w:rPr>
              <w:t xml:space="preserve"> patients, with continuous cover for interventional procedures and 1 PA per 30 participants referred to secondary care from the LCS programme.</w:t>
            </w:r>
          </w:p>
          <w:p w14:paraId="06F67A7F" w14:textId="550CEF44" w:rsidR="00225E1E" w:rsidRPr="00677664" w:rsidRDefault="004D7770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>10 DCC m</w:t>
            </w:r>
            <w:r w:rsidR="00225E1E" w:rsidRPr="00677664">
              <w:rPr>
                <w:rFonts w:eastAsia="Arial"/>
                <w:lang w:val="en-GB"/>
              </w:rPr>
              <w:t xml:space="preserve">edical oncologist time dedicated to </w:t>
            </w:r>
            <w:r w:rsidR="006621E0">
              <w:rPr>
                <w:rFonts w:eastAsia="Arial"/>
                <w:lang w:val="en-GB"/>
              </w:rPr>
              <w:t>LC</w:t>
            </w:r>
            <w:r w:rsidR="00225E1E" w:rsidRPr="00677664">
              <w:rPr>
                <w:rFonts w:eastAsia="Arial"/>
                <w:lang w:val="en-GB"/>
              </w:rPr>
              <w:t xml:space="preserve"> per 200 new lung cancer patients. </w:t>
            </w:r>
          </w:p>
          <w:p w14:paraId="38C5FF74" w14:textId="7AA05704" w:rsidR="00225E1E" w:rsidRDefault="00225E1E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 xml:space="preserve">10 DCC clinical oncologist time dedicated to </w:t>
            </w:r>
            <w:r w:rsidR="006621E0">
              <w:rPr>
                <w:rFonts w:eastAsia="Arial"/>
                <w:lang w:val="en-GB"/>
              </w:rPr>
              <w:t>LC</w:t>
            </w:r>
            <w:r w:rsidRPr="00677664">
              <w:rPr>
                <w:rFonts w:eastAsia="Arial"/>
                <w:lang w:val="en-GB"/>
              </w:rPr>
              <w:t xml:space="preserve"> per 200 new lung cancer patients.</w:t>
            </w:r>
          </w:p>
          <w:p w14:paraId="764B4C7A" w14:textId="1C900CD4" w:rsidR="00B600A8" w:rsidRPr="00CD14C6" w:rsidRDefault="00B600A8" w:rsidP="00B600A8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>
              <w:rPr>
                <w:rFonts w:eastAsia="Arial"/>
                <w:lang w:val="en-GB"/>
              </w:rPr>
              <w:t>A minority of</w:t>
            </w:r>
            <w:r w:rsidRPr="00453588">
              <w:rPr>
                <w:rFonts w:eastAsia="Arial"/>
                <w:lang w:val="en-GB"/>
              </w:rPr>
              <w:t xml:space="preserve"> MDTs have </w:t>
            </w:r>
            <w:r>
              <w:rPr>
                <w:rFonts w:eastAsia="Arial"/>
                <w:lang w:val="en-GB"/>
              </w:rPr>
              <w:t xml:space="preserve">minimal or no medical oncology input so that </w:t>
            </w:r>
            <w:proofErr w:type="gramStart"/>
            <w:r>
              <w:rPr>
                <w:rFonts w:eastAsia="Arial"/>
                <w:lang w:val="en-GB"/>
              </w:rPr>
              <w:t>the majority of</w:t>
            </w:r>
            <w:proofErr w:type="gramEnd"/>
            <w:r>
              <w:rPr>
                <w:rFonts w:eastAsia="Arial"/>
                <w:lang w:val="en-GB"/>
              </w:rPr>
              <w:t xml:space="preserve"> systemic therapy is provided by </w:t>
            </w:r>
            <w:r w:rsidRPr="00453588">
              <w:rPr>
                <w:rFonts w:eastAsia="Arial"/>
                <w:lang w:val="en-GB"/>
              </w:rPr>
              <w:t>clinical oncologist</w:t>
            </w:r>
            <w:r>
              <w:rPr>
                <w:rFonts w:eastAsia="Arial"/>
                <w:lang w:val="en-GB"/>
              </w:rPr>
              <w:t>s.</w:t>
            </w:r>
            <w:r w:rsidRPr="00453588">
              <w:rPr>
                <w:rFonts w:eastAsia="Arial"/>
                <w:lang w:val="en-GB"/>
              </w:rPr>
              <w:t xml:space="preserve"> DCC</w:t>
            </w:r>
            <w:r>
              <w:rPr>
                <w:rFonts w:eastAsia="Arial"/>
                <w:lang w:val="en-GB"/>
              </w:rPr>
              <w:t xml:space="preserve"> PAs</w:t>
            </w:r>
            <w:r w:rsidRPr="00453588">
              <w:rPr>
                <w:rFonts w:eastAsia="Arial"/>
                <w:lang w:val="en-GB"/>
              </w:rPr>
              <w:t xml:space="preserve"> should be </w:t>
            </w:r>
            <w:r>
              <w:rPr>
                <w:rFonts w:eastAsia="Arial"/>
                <w:lang w:val="en-GB"/>
              </w:rPr>
              <w:t xml:space="preserve">a total of 20 per 200 new </w:t>
            </w:r>
            <w:r w:rsidR="006621E0">
              <w:rPr>
                <w:rFonts w:eastAsia="Arial"/>
                <w:lang w:val="en-GB"/>
              </w:rPr>
              <w:t xml:space="preserve">LC </w:t>
            </w:r>
            <w:r>
              <w:rPr>
                <w:rFonts w:eastAsia="Arial"/>
                <w:lang w:val="en-GB"/>
              </w:rPr>
              <w:t>patients</w:t>
            </w:r>
            <w:r w:rsidRPr="00453588">
              <w:rPr>
                <w:rFonts w:eastAsia="Arial"/>
                <w:lang w:val="en-GB"/>
              </w:rPr>
              <w:t>.</w:t>
            </w:r>
          </w:p>
          <w:p w14:paraId="1EE5CA27" w14:textId="1586B8C6" w:rsidR="00225E1E" w:rsidRPr="00677664" w:rsidRDefault="00225E1E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 xml:space="preserve">One WTE LCNS per </w:t>
            </w:r>
            <w:r w:rsidR="00EC7B6B">
              <w:rPr>
                <w:rFonts w:eastAsia="Arial"/>
                <w:lang w:val="en-GB"/>
              </w:rPr>
              <w:t>4</w:t>
            </w:r>
            <w:r w:rsidRPr="00677664">
              <w:rPr>
                <w:rFonts w:eastAsia="Arial"/>
                <w:lang w:val="en-GB"/>
              </w:rPr>
              <w:t>0 new LC diagnoses per year</w:t>
            </w:r>
            <w:r w:rsidR="00582D6C">
              <w:rPr>
                <w:rFonts w:eastAsia="Arial"/>
                <w:lang w:val="en-GB"/>
              </w:rPr>
              <w:t xml:space="preserve"> including </w:t>
            </w:r>
            <w:r w:rsidR="00EC7B6B">
              <w:rPr>
                <w:rFonts w:eastAsia="Arial"/>
                <w:lang w:val="en-GB"/>
              </w:rPr>
              <w:t xml:space="preserve">one band 7 </w:t>
            </w:r>
            <w:r w:rsidR="00D140BC">
              <w:rPr>
                <w:rFonts w:eastAsia="Arial"/>
                <w:lang w:val="en-GB"/>
              </w:rPr>
              <w:t xml:space="preserve">or above </w:t>
            </w:r>
            <w:r w:rsidR="00EC7B6B">
              <w:rPr>
                <w:rFonts w:eastAsia="Arial"/>
                <w:lang w:val="en-GB"/>
              </w:rPr>
              <w:t>per 80 new diagnoses.</w:t>
            </w:r>
          </w:p>
          <w:p w14:paraId="7088F8CE" w14:textId="77777777" w:rsidR="00225E1E" w:rsidRPr="00677664" w:rsidRDefault="00225E1E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>1.5 WTE palliative care nurse specialists per 200 new LC diagnoses.</w:t>
            </w:r>
          </w:p>
          <w:p w14:paraId="51BDF158" w14:textId="77777777" w:rsidR="00225E1E" w:rsidRPr="00677664" w:rsidRDefault="00225E1E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>2 DCC PAs of specialist supportive / palliative care consultant time per 200 new LC diagnoses</w:t>
            </w:r>
          </w:p>
          <w:p w14:paraId="7EE09634" w14:textId="610E1FA2" w:rsidR="00225E1E" w:rsidRPr="00677664" w:rsidRDefault="00225E1E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 xml:space="preserve">10 DCC of specialist pulmonary pathologist time per 300 new </w:t>
            </w:r>
            <w:r w:rsidR="006621E0">
              <w:rPr>
                <w:rFonts w:eastAsia="Arial"/>
                <w:lang w:val="en-GB"/>
              </w:rPr>
              <w:t>LC</w:t>
            </w:r>
            <w:r w:rsidRPr="00677664">
              <w:rPr>
                <w:rFonts w:eastAsia="Arial"/>
                <w:lang w:val="en-GB"/>
              </w:rPr>
              <w:t xml:space="preserve"> patients.</w:t>
            </w:r>
          </w:p>
          <w:p w14:paraId="08EF55E9" w14:textId="77777777" w:rsidR="00225E1E" w:rsidRPr="00677664" w:rsidRDefault="00225E1E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677664">
              <w:rPr>
                <w:rFonts w:eastAsia="Arial"/>
                <w:lang w:val="en-GB"/>
              </w:rPr>
              <w:t>Fast track, pre-clinic CT pathway</w:t>
            </w:r>
          </w:p>
          <w:p w14:paraId="2CA223C4" w14:textId="64E34CB9" w:rsidR="00225E1E" w:rsidRPr="00766BD9" w:rsidRDefault="00225E1E" w:rsidP="006621E0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rFonts w:eastAsia="Arial"/>
                <w:lang w:val="en-GB"/>
              </w:rPr>
            </w:pPr>
            <w:r w:rsidRPr="00766BD9">
              <w:rPr>
                <w:rFonts w:eastAsia="Arial"/>
                <w:lang w:val="en-GB"/>
              </w:rPr>
              <w:t xml:space="preserve">Separate diagnostic planning process or MDT from treatment </w:t>
            </w:r>
            <w:r w:rsidR="006621E0">
              <w:rPr>
                <w:rFonts w:eastAsia="Arial"/>
                <w:lang w:val="en-GB"/>
              </w:rPr>
              <w:t>LC</w:t>
            </w:r>
            <w:r w:rsidRPr="00766BD9">
              <w:rPr>
                <w:lang w:val="en-GB"/>
              </w:rPr>
              <w:t xml:space="preserve"> surgery of 5 PAs per 200 new </w:t>
            </w:r>
            <w:r w:rsidR="006621E0">
              <w:rPr>
                <w:lang w:val="en-GB"/>
              </w:rPr>
              <w:t>LC</w:t>
            </w:r>
            <w:r w:rsidR="00040733">
              <w:rPr>
                <w:lang w:val="en-GB"/>
              </w:rPr>
              <w:t xml:space="preserve"> </w:t>
            </w:r>
            <w:r w:rsidRPr="00766BD9">
              <w:rPr>
                <w:lang w:val="en-GB"/>
              </w:rPr>
              <w:t>patients</w:t>
            </w:r>
            <w:r w:rsidR="00040733">
              <w:rPr>
                <w:lang w:val="en-GB"/>
              </w:rPr>
              <w:t xml:space="preserve"> assuming a resection </w:t>
            </w:r>
            <w:r w:rsidR="00BB0419">
              <w:rPr>
                <w:lang w:val="en-GB"/>
              </w:rPr>
              <w:t xml:space="preserve">rate </w:t>
            </w:r>
            <w:r w:rsidR="00040733">
              <w:rPr>
                <w:lang w:val="en-GB"/>
              </w:rPr>
              <w:t>of 20%</w:t>
            </w:r>
            <w:r w:rsidR="002A6D8F">
              <w:rPr>
                <w:lang w:val="en-GB"/>
              </w:rPr>
              <w:t xml:space="preserve">. </w:t>
            </w:r>
            <w:r w:rsidR="00BB0419">
              <w:rPr>
                <w:lang w:val="en-GB"/>
              </w:rPr>
              <w:t xml:space="preserve">DCCs should be adjusted </w:t>
            </w:r>
            <w:r w:rsidR="00B90615">
              <w:rPr>
                <w:lang w:val="en-GB"/>
              </w:rPr>
              <w:t>according to resection rate.</w:t>
            </w:r>
          </w:p>
          <w:p w14:paraId="6342CF85" w14:textId="77777777" w:rsidR="00225E1E" w:rsidRPr="00677664" w:rsidRDefault="00225E1E" w:rsidP="00FA7759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lang w:val="en-GB"/>
              </w:rPr>
            </w:pPr>
            <w:r w:rsidRPr="00677664">
              <w:rPr>
                <w:lang w:val="en-GB"/>
              </w:rPr>
              <w:t>Specialist radiological imaging (PET-CT etc.)</w:t>
            </w:r>
          </w:p>
          <w:p w14:paraId="6AC19688" w14:textId="085C8C6A" w:rsidR="00225E1E" w:rsidRPr="00CD14C6" w:rsidRDefault="00225E1E" w:rsidP="00CD14C6">
            <w:pPr>
              <w:pStyle w:val="ListParagraph"/>
              <w:numPr>
                <w:ilvl w:val="0"/>
                <w:numId w:val="12"/>
              </w:numPr>
              <w:tabs>
                <w:tab w:val="left" w:pos="2127"/>
              </w:tabs>
              <w:rPr>
                <w:lang w:val="en-GB"/>
              </w:rPr>
            </w:pPr>
            <w:r w:rsidRPr="00677664">
              <w:rPr>
                <w:lang w:val="en-GB"/>
              </w:rPr>
              <w:t>Bronchoscopy</w:t>
            </w:r>
            <w:r w:rsidR="00CD14C6">
              <w:rPr>
                <w:lang w:val="en-GB"/>
              </w:rPr>
              <w:t>,</w:t>
            </w:r>
            <w:r w:rsidRPr="00677664">
              <w:rPr>
                <w:lang w:val="en-GB"/>
              </w:rPr>
              <w:t xml:space="preserve"> </w:t>
            </w:r>
            <w:r w:rsidR="00CD14C6">
              <w:rPr>
                <w:lang w:val="en-GB"/>
              </w:rPr>
              <w:t>e</w:t>
            </w:r>
            <w:r w:rsidRPr="00CD14C6">
              <w:rPr>
                <w:lang w:val="en-GB"/>
              </w:rPr>
              <w:t>ndobronchial ultrasound</w:t>
            </w:r>
            <w:r w:rsidR="00CD14C6">
              <w:rPr>
                <w:lang w:val="en-GB"/>
              </w:rPr>
              <w:t>,</w:t>
            </w:r>
            <w:r w:rsidRPr="00CD14C6">
              <w:rPr>
                <w:lang w:val="en-GB"/>
              </w:rPr>
              <w:t xml:space="preserve"> </w:t>
            </w:r>
            <w:r w:rsidR="00CD14C6">
              <w:rPr>
                <w:lang w:val="en-GB"/>
              </w:rPr>
              <w:t>t</w:t>
            </w:r>
            <w:r w:rsidRPr="00CD14C6">
              <w:rPr>
                <w:lang w:val="en-GB"/>
              </w:rPr>
              <w:t>horacoscopy</w:t>
            </w:r>
            <w:r w:rsidR="00CD14C6">
              <w:rPr>
                <w:lang w:val="en-GB"/>
              </w:rPr>
              <w:t>,</w:t>
            </w:r>
            <w:r w:rsidRPr="00CD14C6">
              <w:rPr>
                <w:lang w:val="en-GB"/>
              </w:rPr>
              <w:t xml:space="preserve"> </w:t>
            </w:r>
            <w:r w:rsidR="00CD14C6">
              <w:rPr>
                <w:lang w:val="en-GB"/>
              </w:rPr>
              <w:t>r</w:t>
            </w:r>
            <w:r w:rsidRPr="00CD14C6">
              <w:rPr>
                <w:lang w:val="en-GB"/>
              </w:rPr>
              <w:t>adiological biopsy</w:t>
            </w:r>
          </w:p>
          <w:p w14:paraId="1FB8D5CC" w14:textId="078C8368" w:rsidR="00225E1E" w:rsidRPr="00677664" w:rsidRDefault="00225E1E" w:rsidP="00FA7759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rPr>
                <w:lang w:val="en-GB"/>
              </w:rPr>
            </w:pPr>
            <w:r w:rsidRPr="00677664">
              <w:rPr>
                <w:lang w:val="en-GB"/>
              </w:rPr>
              <w:t>Thoracic surgical diagnosis and staging</w:t>
            </w:r>
          </w:p>
          <w:p w14:paraId="10EEA64A" w14:textId="77777777" w:rsidR="00225E1E" w:rsidRPr="00677664" w:rsidRDefault="00225E1E" w:rsidP="00FA7759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rPr>
                <w:lang w:val="en-GB"/>
              </w:rPr>
            </w:pPr>
            <w:r w:rsidRPr="00677664">
              <w:rPr>
                <w:lang w:val="en-GB"/>
              </w:rPr>
              <w:t>Lung function and exercise testing</w:t>
            </w:r>
          </w:p>
          <w:p w14:paraId="2E6E1AAF" w14:textId="157814B8" w:rsidR="00225E1E" w:rsidRPr="00677664" w:rsidRDefault="00225E1E" w:rsidP="00FA7759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rPr>
                <w:lang w:val="en-GB"/>
              </w:rPr>
            </w:pPr>
            <w:r w:rsidRPr="00677664">
              <w:rPr>
                <w:lang w:val="en-GB"/>
              </w:rPr>
              <w:t>Specialist diag</w:t>
            </w:r>
            <w:r w:rsidR="006A5CE8" w:rsidRPr="00677664">
              <w:rPr>
                <w:lang w:val="en-GB"/>
              </w:rPr>
              <w:t xml:space="preserve">nostic pathology </w:t>
            </w:r>
          </w:p>
          <w:p w14:paraId="51026F15" w14:textId="77777777" w:rsidR="00225E1E" w:rsidRDefault="00225E1E" w:rsidP="00FA7759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rPr>
                <w:lang w:val="en-GB"/>
              </w:rPr>
            </w:pPr>
            <w:r w:rsidRPr="00677664">
              <w:rPr>
                <w:lang w:val="en-GB"/>
              </w:rPr>
              <w:t>Advanced early diagnostic facilities at larger centres to facilitate diagnosis in the LCS programme</w:t>
            </w:r>
          </w:p>
          <w:p w14:paraId="0BE61832" w14:textId="4FC71C01" w:rsidR="0065434A" w:rsidRPr="00677664" w:rsidRDefault="0065434A" w:rsidP="00FA7759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rPr>
                <w:lang w:val="en-GB"/>
              </w:rPr>
            </w:pPr>
            <w:r>
              <w:rPr>
                <w:lang w:val="en-GB"/>
              </w:rPr>
              <w:t xml:space="preserve">For tertiary services increased provision is required according to the activity provided (section 4.3.11 of full guidance) </w:t>
            </w:r>
          </w:p>
          <w:p w14:paraId="422CE49F" w14:textId="77777777" w:rsidR="00AB5CC3" w:rsidRDefault="00AB5CC3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color w:val="59824E"/>
                <w:lang w:val="en-GB"/>
              </w:rPr>
            </w:pPr>
          </w:p>
          <w:p w14:paraId="66A97078" w14:textId="12E6FAB6" w:rsidR="000F6A15" w:rsidRPr="00885501" w:rsidRDefault="00885501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color w:val="59824E"/>
                <w:lang w:val="en-GB"/>
              </w:rPr>
            </w:pPr>
            <w:r>
              <w:rPr>
                <w:color w:val="59824E"/>
                <w:lang w:val="en-GB"/>
              </w:rPr>
              <w:t>SE2.4</w:t>
            </w:r>
            <w:r w:rsidR="000F6A15" w:rsidRPr="00885501">
              <w:rPr>
                <w:color w:val="59824E"/>
                <w:lang w:val="en-GB"/>
              </w:rPr>
              <w:t xml:space="preserve"> Diagnosis and staging</w:t>
            </w:r>
          </w:p>
          <w:p w14:paraId="37EAC582" w14:textId="77777777" w:rsidR="00885501" w:rsidRDefault="00885501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lang w:val="en-GB"/>
              </w:rPr>
            </w:pPr>
          </w:p>
          <w:p w14:paraId="54F207B6" w14:textId="7CBB48F4" w:rsidR="000F6A15" w:rsidRDefault="000F6A15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lang w:val="en-GB"/>
              </w:rPr>
            </w:pPr>
            <w:r>
              <w:rPr>
                <w:lang w:val="en-GB"/>
              </w:rPr>
              <w:t>Follow the National Optimal Lung Cancer Pathway (NOLCP)</w:t>
            </w:r>
          </w:p>
          <w:p w14:paraId="1D8B26FF" w14:textId="77777777" w:rsidR="000F6A15" w:rsidRDefault="000F6A15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lang w:val="en-GB"/>
              </w:rPr>
            </w:pPr>
          </w:p>
          <w:p w14:paraId="54A62AAB" w14:textId="02F82182" w:rsidR="000F6A15" w:rsidRPr="00885501" w:rsidRDefault="00885501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color w:val="59824E"/>
                <w:lang w:val="en-GB"/>
              </w:rPr>
            </w:pPr>
            <w:r>
              <w:rPr>
                <w:color w:val="59824E"/>
                <w:lang w:val="en-GB"/>
              </w:rPr>
              <w:t>SE2.5</w:t>
            </w:r>
            <w:r w:rsidR="000F6A15" w:rsidRPr="00885501">
              <w:rPr>
                <w:color w:val="59824E"/>
                <w:lang w:val="en-GB"/>
              </w:rPr>
              <w:t xml:space="preserve"> Treatment and equity</w:t>
            </w:r>
          </w:p>
          <w:p w14:paraId="753B0DFD" w14:textId="77777777" w:rsidR="00885501" w:rsidRDefault="00885501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lang w:val="en-GB"/>
              </w:rPr>
            </w:pPr>
          </w:p>
          <w:p w14:paraId="36C932AC" w14:textId="38257A53" w:rsidR="000F6A15" w:rsidRDefault="000F6A15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lang w:val="en-GB"/>
              </w:rPr>
            </w:pPr>
            <w:r>
              <w:rPr>
                <w:lang w:val="en-GB"/>
              </w:rPr>
              <w:t xml:space="preserve">Maximise the number of patients that can be offered treatment through implementation of the NOLCP and provision of expert time as in 2.2 above; ensure </w:t>
            </w:r>
            <w:r w:rsidR="00885501">
              <w:rPr>
                <w:lang w:val="en-GB"/>
              </w:rPr>
              <w:t xml:space="preserve">this is offered equitably </w:t>
            </w:r>
            <w:proofErr w:type="gramStart"/>
            <w:r w:rsidR="00885501">
              <w:rPr>
                <w:lang w:val="en-GB"/>
              </w:rPr>
              <w:t>according</w:t>
            </w:r>
            <w:proofErr w:type="gramEnd"/>
            <w:r w:rsidR="00885501">
              <w:rPr>
                <w:lang w:val="en-GB"/>
              </w:rPr>
              <w:t xml:space="preserve"> the geography and sociodemographic.</w:t>
            </w:r>
          </w:p>
          <w:p w14:paraId="737BC7E7" w14:textId="77777777" w:rsidR="000F6A15" w:rsidRDefault="000F6A15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lang w:val="en-GB"/>
              </w:rPr>
            </w:pPr>
          </w:p>
          <w:p w14:paraId="3EFAA881" w14:textId="76A9249F" w:rsidR="00885501" w:rsidRDefault="00885501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lang w:val="en-GB"/>
              </w:rPr>
            </w:pPr>
            <w:r>
              <w:rPr>
                <w:color w:val="59824E"/>
                <w:lang w:val="en-GB"/>
              </w:rPr>
              <w:t>SE2.6</w:t>
            </w:r>
            <w:r w:rsidRPr="00885501">
              <w:rPr>
                <w:color w:val="59824E"/>
                <w:lang w:val="en-GB"/>
              </w:rPr>
              <w:t xml:space="preserve"> Living with </w:t>
            </w:r>
            <w:r w:rsidR="00B9276C" w:rsidRPr="00885501">
              <w:rPr>
                <w:color w:val="59824E"/>
                <w:lang w:val="en-GB"/>
              </w:rPr>
              <w:t>cancer.</w:t>
            </w:r>
          </w:p>
          <w:p w14:paraId="5E824C7A" w14:textId="77777777" w:rsidR="00885501" w:rsidRDefault="00885501" w:rsidP="000F6A15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lang w:val="en-GB"/>
              </w:rPr>
            </w:pPr>
          </w:p>
          <w:p w14:paraId="6936D960" w14:textId="51EEF081" w:rsidR="00273100" w:rsidRPr="00B9276C" w:rsidRDefault="00885501" w:rsidP="005E31CF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rPr>
                <w:lang w:val="en-GB"/>
              </w:rPr>
            </w:pPr>
            <w:r>
              <w:rPr>
                <w:lang w:val="en-GB"/>
              </w:rPr>
              <w:t>Ensure all patient</w:t>
            </w:r>
            <w:r w:rsidR="00B9276C">
              <w:rPr>
                <w:lang w:val="en-GB"/>
              </w:rPr>
              <w:t>s</w:t>
            </w:r>
            <w:r>
              <w:rPr>
                <w:lang w:val="en-GB"/>
              </w:rPr>
              <w:t xml:space="preserve"> have access to supportive care appropriate to their needs to maximise quality of life and benefit from treatment.</w:t>
            </w:r>
          </w:p>
        </w:tc>
      </w:tr>
    </w:tbl>
    <w:p w14:paraId="4226FD90" w14:textId="6C3889A4" w:rsidR="00AA79D6" w:rsidRPr="00CC0101" w:rsidRDefault="00AA79D6" w:rsidP="00CD14C6"/>
    <w:sectPr w:rsidR="00AA79D6" w:rsidRPr="00CC0101" w:rsidSect="00CD14C6">
      <w:footerReference w:type="even" r:id="rId9"/>
      <w:footerReference w:type="default" r:id="rId10"/>
      <w:pgSz w:w="11910" w:h="16840"/>
      <w:pgMar w:top="1180" w:right="1418" w:bottom="816" w:left="13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4515" w14:textId="77777777" w:rsidR="00B10040" w:rsidRDefault="00B10040" w:rsidP="00A53CCD">
      <w:r>
        <w:separator/>
      </w:r>
    </w:p>
  </w:endnote>
  <w:endnote w:type="continuationSeparator" w:id="0">
    <w:p w14:paraId="2C2B1142" w14:textId="77777777" w:rsidR="00B10040" w:rsidRDefault="00B10040" w:rsidP="00A53CCD">
      <w:r>
        <w:continuationSeparator/>
      </w:r>
    </w:p>
  </w:endnote>
  <w:endnote w:type="continuationNotice" w:id="1">
    <w:p w14:paraId="76175C6E" w14:textId="77777777" w:rsidR="00B10040" w:rsidRDefault="00B10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E910" w14:textId="0740B3A5" w:rsidR="00110C74" w:rsidRDefault="00110C74" w:rsidP="00B927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F7ECD92" w14:textId="77777777" w:rsidR="00110C74" w:rsidRDefault="00000000" w:rsidP="00A53CCD">
    <w:pPr>
      <w:pStyle w:val="Footer"/>
      <w:ind w:right="360"/>
    </w:pPr>
    <w:sdt>
      <w:sdtPr>
        <w:id w:val="-1462654520"/>
        <w:placeholder>
          <w:docPart w:val="07A7D2D153955C46B7623FB1C5E249CA"/>
        </w:placeholder>
        <w:temporary/>
        <w:showingPlcHdr/>
      </w:sdtPr>
      <w:sdtContent>
        <w:r w:rsidR="00110C74">
          <w:t>[Type text]</w:t>
        </w:r>
      </w:sdtContent>
    </w:sdt>
    <w:r w:rsidR="00110C74">
      <w:ptab w:relativeTo="margin" w:alignment="center" w:leader="none"/>
    </w:r>
    <w:sdt>
      <w:sdtPr>
        <w:id w:val="-1018229257"/>
        <w:placeholder>
          <w:docPart w:val="04BD60BF5BB5974F83FA1F5AE7FCD306"/>
        </w:placeholder>
        <w:temporary/>
        <w:showingPlcHdr/>
      </w:sdtPr>
      <w:sdtContent>
        <w:r w:rsidR="00110C74">
          <w:t>[Type text]</w:t>
        </w:r>
      </w:sdtContent>
    </w:sdt>
    <w:r w:rsidR="00110C74">
      <w:ptab w:relativeTo="margin" w:alignment="right" w:leader="none"/>
    </w:r>
    <w:sdt>
      <w:sdtPr>
        <w:id w:val="125135947"/>
        <w:placeholder>
          <w:docPart w:val="E7037D3DB7E12442904529471A6CB749"/>
        </w:placeholder>
        <w:temporary/>
        <w:showingPlcHdr/>
      </w:sdtPr>
      <w:sdtContent>
        <w:r w:rsidR="00110C7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F8D2" w14:textId="05EAA97A" w:rsidR="00110C74" w:rsidRDefault="00110C74" w:rsidP="00B927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370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8246C27" w14:textId="0B24AD4F" w:rsidR="00110C74" w:rsidRDefault="00110C74" w:rsidP="00A53CCD">
    <w:pPr>
      <w:pStyle w:val="Footer"/>
      <w:ind w:right="360"/>
    </w:pPr>
    <w:r>
      <w:ptab w:relativeTo="margin" w:alignment="center" w:leader="none"/>
    </w:r>
    <w:r>
      <w:t>Commissioning guidance for Lung Cancer</w:t>
    </w:r>
    <w:r w:rsidR="00B9276C">
      <w:t>:</w:t>
    </w:r>
    <w:r w:rsidR="00B9276C" w:rsidRPr="00B9276C">
      <w:t xml:space="preserve"> </w:t>
    </w:r>
    <w:r w:rsidR="00B9276C">
      <w:t>Essential Summary of Recommendations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926D" w14:textId="77777777" w:rsidR="00B10040" w:rsidRDefault="00B10040" w:rsidP="00A53CCD">
      <w:r>
        <w:separator/>
      </w:r>
    </w:p>
  </w:footnote>
  <w:footnote w:type="continuationSeparator" w:id="0">
    <w:p w14:paraId="19AE42D9" w14:textId="77777777" w:rsidR="00B10040" w:rsidRDefault="00B10040" w:rsidP="00A53CCD">
      <w:r>
        <w:continuationSeparator/>
      </w:r>
    </w:p>
  </w:footnote>
  <w:footnote w:type="continuationNotice" w:id="1">
    <w:p w14:paraId="425E6FF8" w14:textId="77777777" w:rsidR="00B10040" w:rsidRDefault="00B100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B07"/>
    <w:multiLevelType w:val="hybridMultilevel"/>
    <w:tmpl w:val="5A3AD2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A20FF"/>
    <w:multiLevelType w:val="multilevel"/>
    <w:tmpl w:val="FBE8B4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FE2992"/>
    <w:multiLevelType w:val="hybridMultilevel"/>
    <w:tmpl w:val="E74E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5418"/>
    <w:multiLevelType w:val="hybridMultilevel"/>
    <w:tmpl w:val="DF30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3420"/>
    <w:multiLevelType w:val="hybridMultilevel"/>
    <w:tmpl w:val="C49E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A2977"/>
    <w:multiLevelType w:val="hybridMultilevel"/>
    <w:tmpl w:val="B02AE4AC"/>
    <w:lvl w:ilvl="0" w:tplc="5A7A78EA">
      <w:start w:val="1"/>
      <w:numFmt w:val="bullet"/>
      <w:pStyle w:val="BodyTex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CB48EF8">
      <w:start w:val="1"/>
      <w:numFmt w:val="bullet"/>
      <w:lvlText w:val="•"/>
      <w:lvlJc w:val="left"/>
      <w:pPr>
        <w:ind w:left="1345" w:hanging="360"/>
      </w:pPr>
      <w:rPr>
        <w:rFonts w:hint="default"/>
      </w:rPr>
    </w:lvl>
    <w:lvl w:ilvl="2" w:tplc="364EB182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3" w:tplc="34842552">
      <w:start w:val="1"/>
      <w:numFmt w:val="bullet"/>
      <w:lvlText w:val="•"/>
      <w:lvlJc w:val="left"/>
      <w:pPr>
        <w:ind w:left="3099" w:hanging="360"/>
      </w:pPr>
      <w:rPr>
        <w:rFonts w:hint="default"/>
      </w:rPr>
    </w:lvl>
    <w:lvl w:ilvl="4" w:tplc="3B64D0C6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5" w:tplc="EB583FFC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6" w:tplc="00843570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7EE212CC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  <w:lvl w:ilvl="8" w:tplc="792A9CD4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6" w15:restartNumberingAfterBreak="0">
    <w:nsid w:val="2F772F34"/>
    <w:multiLevelType w:val="multilevel"/>
    <w:tmpl w:val="21F298C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Ansi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AnsiTheme="minorHAnsi" w:cstheme="minorBidi" w:hint="default"/>
        <w:b/>
      </w:rPr>
    </w:lvl>
  </w:abstractNum>
  <w:abstractNum w:abstractNumId="7" w15:restartNumberingAfterBreak="0">
    <w:nsid w:val="30795032"/>
    <w:multiLevelType w:val="hybridMultilevel"/>
    <w:tmpl w:val="3AB21C50"/>
    <w:lvl w:ilvl="0" w:tplc="00BA3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56A97"/>
    <w:multiLevelType w:val="hybridMultilevel"/>
    <w:tmpl w:val="C3867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3245B2"/>
    <w:multiLevelType w:val="multilevel"/>
    <w:tmpl w:val="D18EB5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6D1DB8"/>
    <w:multiLevelType w:val="hybridMultilevel"/>
    <w:tmpl w:val="ACF2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51768"/>
    <w:multiLevelType w:val="hybridMultilevel"/>
    <w:tmpl w:val="2FCCF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03794"/>
    <w:multiLevelType w:val="hybridMultilevel"/>
    <w:tmpl w:val="766ED0D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3CEB4676"/>
    <w:multiLevelType w:val="hybridMultilevel"/>
    <w:tmpl w:val="0F185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96B52"/>
    <w:multiLevelType w:val="hybridMultilevel"/>
    <w:tmpl w:val="D45C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1570"/>
    <w:multiLevelType w:val="hybridMultilevel"/>
    <w:tmpl w:val="66A8CE66"/>
    <w:lvl w:ilvl="0" w:tplc="104CB5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A5548"/>
    <w:multiLevelType w:val="hybridMultilevel"/>
    <w:tmpl w:val="2C865D40"/>
    <w:lvl w:ilvl="0" w:tplc="E7006E1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4CC6"/>
    <w:multiLevelType w:val="multilevel"/>
    <w:tmpl w:val="63809D66"/>
    <w:lvl w:ilvl="0">
      <w:start w:val="3"/>
      <w:numFmt w:val="decimal"/>
      <w:lvlText w:val="%1"/>
      <w:lvlJc w:val="left"/>
      <w:pPr>
        <w:ind w:left="444" w:hanging="3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336"/>
      </w:pPr>
      <w:rPr>
        <w:rFonts w:ascii="Arial" w:eastAsia="Arial" w:hAnsi="Arial" w:hint="default"/>
        <w:b/>
        <w:bCs/>
        <w:color w:val="339966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18" w15:restartNumberingAfterBreak="0">
    <w:nsid w:val="4B763E3D"/>
    <w:multiLevelType w:val="multilevel"/>
    <w:tmpl w:val="2F40264E"/>
    <w:lvl w:ilvl="0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b/>
      </w:rPr>
    </w:lvl>
  </w:abstractNum>
  <w:abstractNum w:abstractNumId="19" w15:restartNumberingAfterBreak="0">
    <w:nsid w:val="4DCA7C04"/>
    <w:multiLevelType w:val="hybridMultilevel"/>
    <w:tmpl w:val="12E683FC"/>
    <w:lvl w:ilvl="0" w:tplc="19E6E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D6F28"/>
    <w:multiLevelType w:val="multilevel"/>
    <w:tmpl w:val="6082B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3F06DD"/>
    <w:multiLevelType w:val="hybridMultilevel"/>
    <w:tmpl w:val="8356000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65552CA1"/>
    <w:multiLevelType w:val="multilevel"/>
    <w:tmpl w:val="B33A547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Ansi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AnsiTheme="minorHAnsi" w:cstheme="minorBidi" w:hint="default"/>
        <w:b/>
      </w:rPr>
    </w:lvl>
  </w:abstractNum>
  <w:abstractNum w:abstractNumId="23" w15:restartNumberingAfterBreak="0">
    <w:nsid w:val="6F097C9A"/>
    <w:multiLevelType w:val="hybridMultilevel"/>
    <w:tmpl w:val="44D4E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A33FA"/>
    <w:multiLevelType w:val="hybridMultilevel"/>
    <w:tmpl w:val="97FADCE6"/>
    <w:lvl w:ilvl="0" w:tplc="E872F1DC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5" w15:restartNumberingAfterBreak="0">
    <w:nsid w:val="71646BDB"/>
    <w:multiLevelType w:val="multilevel"/>
    <w:tmpl w:val="EFDC55E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b/>
      </w:rPr>
    </w:lvl>
  </w:abstractNum>
  <w:abstractNum w:abstractNumId="26" w15:restartNumberingAfterBreak="0">
    <w:nsid w:val="717A320B"/>
    <w:multiLevelType w:val="multilevel"/>
    <w:tmpl w:val="FD38DD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5273AC6"/>
    <w:multiLevelType w:val="hybridMultilevel"/>
    <w:tmpl w:val="4E2C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21595"/>
    <w:multiLevelType w:val="multilevel"/>
    <w:tmpl w:val="6798AA2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4F81BD" w:themeColor="accent1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hint="default"/>
        <w:color w:val="4F81BD" w:themeColor="accent1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4F81BD" w:themeColor="accent1"/>
      </w:rPr>
    </w:lvl>
  </w:abstractNum>
  <w:abstractNum w:abstractNumId="29" w15:restartNumberingAfterBreak="0">
    <w:nsid w:val="78C326AD"/>
    <w:multiLevelType w:val="hybridMultilevel"/>
    <w:tmpl w:val="113A2D66"/>
    <w:lvl w:ilvl="0" w:tplc="957C3B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A1BEF"/>
    <w:multiLevelType w:val="hybridMultilevel"/>
    <w:tmpl w:val="A45C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0112E"/>
    <w:multiLevelType w:val="multilevel"/>
    <w:tmpl w:val="ED347130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55827"/>
    <w:multiLevelType w:val="multilevel"/>
    <w:tmpl w:val="1668EA1A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5438630">
    <w:abstractNumId w:val="17"/>
  </w:num>
  <w:num w:numId="2" w16cid:durableId="1928073917">
    <w:abstractNumId w:val="5"/>
  </w:num>
  <w:num w:numId="3" w16cid:durableId="501049355">
    <w:abstractNumId w:val="13"/>
  </w:num>
  <w:num w:numId="4" w16cid:durableId="1532918974">
    <w:abstractNumId w:val="6"/>
  </w:num>
  <w:num w:numId="5" w16cid:durableId="167182775">
    <w:abstractNumId w:val="12"/>
  </w:num>
  <w:num w:numId="6" w16cid:durableId="1167093462">
    <w:abstractNumId w:val="9"/>
  </w:num>
  <w:num w:numId="7" w16cid:durableId="1813519729">
    <w:abstractNumId w:val="31"/>
  </w:num>
  <w:num w:numId="8" w16cid:durableId="893271847">
    <w:abstractNumId w:val="2"/>
  </w:num>
  <w:num w:numId="9" w16cid:durableId="1316834561">
    <w:abstractNumId w:val="8"/>
  </w:num>
  <w:num w:numId="10" w16cid:durableId="833296531">
    <w:abstractNumId w:val="11"/>
  </w:num>
  <w:num w:numId="11" w16cid:durableId="1773017265">
    <w:abstractNumId w:val="22"/>
  </w:num>
  <w:num w:numId="12" w16cid:durableId="1425608106">
    <w:abstractNumId w:val="27"/>
  </w:num>
  <w:num w:numId="13" w16cid:durableId="632911001">
    <w:abstractNumId w:val="21"/>
  </w:num>
  <w:num w:numId="14" w16cid:durableId="1518302610">
    <w:abstractNumId w:val="30"/>
  </w:num>
  <w:num w:numId="15" w16cid:durableId="1157306340">
    <w:abstractNumId w:val="14"/>
  </w:num>
  <w:num w:numId="16" w16cid:durableId="376508720">
    <w:abstractNumId w:val="24"/>
  </w:num>
  <w:num w:numId="17" w16cid:durableId="1306427033">
    <w:abstractNumId w:val="7"/>
  </w:num>
  <w:num w:numId="18" w16cid:durableId="595872173">
    <w:abstractNumId w:val="3"/>
  </w:num>
  <w:num w:numId="19" w16cid:durableId="2136411120">
    <w:abstractNumId w:val="10"/>
  </w:num>
  <w:num w:numId="20" w16cid:durableId="1896424913">
    <w:abstractNumId w:val="16"/>
  </w:num>
  <w:num w:numId="21" w16cid:durableId="2003005266">
    <w:abstractNumId w:val="29"/>
  </w:num>
  <w:num w:numId="22" w16cid:durableId="1322611906">
    <w:abstractNumId w:val="4"/>
  </w:num>
  <w:num w:numId="23" w16cid:durableId="1028877279">
    <w:abstractNumId w:val="28"/>
  </w:num>
  <w:num w:numId="24" w16cid:durableId="599526201">
    <w:abstractNumId w:val="23"/>
  </w:num>
  <w:num w:numId="25" w16cid:durableId="1145318593">
    <w:abstractNumId w:val="15"/>
  </w:num>
  <w:num w:numId="26" w16cid:durableId="2147308733">
    <w:abstractNumId w:val="19"/>
  </w:num>
  <w:num w:numId="27" w16cid:durableId="2044482253">
    <w:abstractNumId w:val="0"/>
  </w:num>
  <w:num w:numId="28" w16cid:durableId="1179352187">
    <w:abstractNumId w:val="1"/>
  </w:num>
  <w:num w:numId="29" w16cid:durableId="1679967591">
    <w:abstractNumId w:val="32"/>
  </w:num>
  <w:num w:numId="30" w16cid:durableId="445386756">
    <w:abstractNumId w:val="26"/>
  </w:num>
  <w:num w:numId="31" w16cid:durableId="1654867615">
    <w:abstractNumId w:val="25"/>
  </w:num>
  <w:num w:numId="32" w16cid:durableId="1530101679">
    <w:abstractNumId w:val="18"/>
  </w:num>
  <w:num w:numId="33" w16cid:durableId="66821851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w0vavrjvxtzuesr99xdvwkf9pfpxs9vasr&quot;&gt;UKLS Lancet copy 2-Converted&lt;record-ids&gt;&lt;item&gt;20613&lt;/item&gt;&lt;/record-ids&gt;&lt;/item&gt;&lt;/Libraries&gt;"/>
  </w:docVars>
  <w:rsids>
    <w:rsidRoot w:val="009F72C6"/>
    <w:rsid w:val="000009C5"/>
    <w:rsid w:val="00003F15"/>
    <w:rsid w:val="0000705C"/>
    <w:rsid w:val="0001134F"/>
    <w:rsid w:val="00020C7C"/>
    <w:rsid w:val="00022127"/>
    <w:rsid w:val="00024085"/>
    <w:rsid w:val="00024A7D"/>
    <w:rsid w:val="000314A4"/>
    <w:rsid w:val="00032122"/>
    <w:rsid w:val="000321D3"/>
    <w:rsid w:val="00032D6D"/>
    <w:rsid w:val="000336F1"/>
    <w:rsid w:val="00037395"/>
    <w:rsid w:val="00040733"/>
    <w:rsid w:val="00040B55"/>
    <w:rsid w:val="00041143"/>
    <w:rsid w:val="00041795"/>
    <w:rsid w:val="000442A3"/>
    <w:rsid w:val="0005430C"/>
    <w:rsid w:val="000567F8"/>
    <w:rsid w:val="00057279"/>
    <w:rsid w:val="00060F87"/>
    <w:rsid w:val="00064BB7"/>
    <w:rsid w:val="00070075"/>
    <w:rsid w:val="000720F2"/>
    <w:rsid w:val="00080124"/>
    <w:rsid w:val="00087EE0"/>
    <w:rsid w:val="000A05E4"/>
    <w:rsid w:val="000A1AE1"/>
    <w:rsid w:val="000A24D9"/>
    <w:rsid w:val="000A7654"/>
    <w:rsid w:val="000C0358"/>
    <w:rsid w:val="000C03AE"/>
    <w:rsid w:val="000C0CBA"/>
    <w:rsid w:val="000C0DF1"/>
    <w:rsid w:val="000C13B5"/>
    <w:rsid w:val="000C31F4"/>
    <w:rsid w:val="000D097B"/>
    <w:rsid w:val="000D3AE2"/>
    <w:rsid w:val="000D6EDF"/>
    <w:rsid w:val="000E1D8C"/>
    <w:rsid w:val="000E308C"/>
    <w:rsid w:val="000E463B"/>
    <w:rsid w:val="000F3311"/>
    <w:rsid w:val="000F4942"/>
    <w:rsid w:val="000F6A15"/>
    <w:rsid w:val="000F75EE"/>
    <w:rsid w:val="00101277"/>
    <w:rsid w:val="00107ADA"/>
    <w:rsid w:val="00110378"/>
    <w:rsid w:val="00110C74"/>
    <w:rsid w:val="001165E3"/>
    <w:rsid w:val="00116D98"/>
    <w:rsid w:val="0012096B"/>
    <w:rsid w:val="0012182F"/>
    <w:rsid w:val="00123020"/>
    <w:rsid w:val="00125876"/>
    <w:rsid w:val="001400F7"/>
    <w:rsid w:val="0014031C"/>
    <w:rsid w:val="00143B76"/>
    <w:rsid w:val="001449D2"/>
    <w:rsid w:val="00145804"/>
    <w:rsid w:val="001503DC"/>
    <w:rsid w:val="001533C5"/>
    <w:rsid w:val="00153A17"/>
    <w:rsid w:val="001547D7"/>
    <w:rsid w:val="00155F86"/>
    <w:rsid w:val="001569BB"/>
    <w:rsid w:val="00157464"/>
    <w:rsid w:val="0015756F"/>
    <w:rsid w:val="00157D36"/>
    <w:rsid w:val="00160039"/>
    <w:rsid w:val="00161AE4"/>
    <w:rsid w:val="00162B29"/>
    <w:rsid w:val="00163520"/>
    <w:rsid w:val="00170F93"/>
    <w:rsid w:val="00172009"/>
    <w:rsid w:val="00172B22"/>
    <w:rsid w:val="00172C3D"/>
    <w:rsid w:val="00173143"/>
    <w:rsid w:val="00173C67"/>
    <w:rsid w:val="0017793C"/>
    <w:rsid w:val="00181D7A"/>
    <w:rsid w:val="00182007"/>
    <w:rsid w:val="00185028"/>
    <w:rsid w:val="0018553F"/>
    <w:rsid w:val="00186817"/>
    <w:rsid w:val="001917D6"/>
    <w:rsid w:val="00195FD0"/>
    <w:rsid w:val="00196D34"/>
    <w:rsid w:val="001A1E3D"/>
    <w:rsid w:val="001A48FF"/>
    <w:rsid w:val="001A6F12"/>
    <w:rsid w:val="001B0105"/>
    <w:rsid w:val="001B2D68"/>
    <w:rsid w:val="001C1D02"/>
    <w:rsid w:val="001C3B47"/>
    <w:rsid w:val="001D031F"/>
    <w:rsid w:val="001D3F97"/>
    <w:rsid w:val="001D5773"/>
    <w:rsid w:val="001E2FFE"/>
    <w:rsid w:val="001E5474"/>
    <w:rsid w:val="001F143C"/>
    <w:rsid w:val="001F5773"/>
    <w:rsid w:val="001F5E06"/>
    <w:rsid w:val="002008AB"/>
    <w:rsid w:val="002044A7"/>
    <w:rsid w:val="002062C7"/>
    <w:rsid w:val="00206654"/>
    <w:rsid w:val="00210172"/>
    <w:rsid w:val="00210AFC"/>
    <w:rsid w:val="00212DAE"/>
    <w:rsid w:val="00214093"/>
    <w:rsid w:val="00214F0E"/>
    <w:rsid w:val="0021645A"/>
    <w:rsid w:val="00216761"/>
    <w:rsid w:val="002177A5"/>
    <w:rsid w:val="00220B7F"/>
    <w:rsid w:val="00222C2C"/>
    <w:rsid w:val="002232D8"/>
    <w:rsid w:val="00225E1E"/>
    <w:rsid w:val="0023022E"/>
    <w:rsid w:val="002305BB"/>
    <w:rsid w:val="00231A4D"/>
    <w:rsid w:val="00232154"/>
    <w:rsid w:val="002326F6"/>
    <w:rsid w:val="00235B08"/>
    <w:rsid w:val="00235D5E"/>
    <w:rsid w:val="002373D6"/>
    <w:rsid w:val="00237B95"/>
    <w:rsid w:val="00237C87"/>
    <w:rsid w:val="00241D24"/>
    <w:rsid w:val="00251AA8"/>
    <w:rsid w:val="00251FEA"/>
    <w:rsid w:val="00253F62"/>
    <w:rsid w:val="00256218"/>
    <w:rsid w:val="002568E6"/>
    <w:rsid w:val="00260360"/>
    <w:rsid w:val="0026094E"/>
    <w:rsid w:val="00263996"/>
    <w:rsid w:val="00264341"/>
    <w:rsid w:val="002650C8"/>
    <w:rsid w:val="00265D26"/>
    <w:rsid w:val="00273100"/>
    <w:rsid w:val="00276B96"/>
    <w:rsid w:val="002A12CB"/>
    <w:rsid w:val="002A2085"/>
    <w:rsid w:val="002A2382"/>
    <w:rsid w:val="002A6D8F"/>
    <w:rsid w:val="002B3947"/>
    <w:rsid w:val="002C2C2F"/>
    <w:rsid w:val="002C56AC"/>
    <w:rsid w:val="002D0FBF"/>
    <w:rsid w:val="002D3E04"/>
    <w:rsid w:val="002E0BDA"/>
    <w:rsid w:val="002E246E"/>
    <w:rsid w:val="002E3082"/>
    <w:rsid w:val="002E3F90"/>
    <w:rsid w:val="002F2CBC"/>
    <w:rsid w:val="002F3899"/>
    <w:rsid w:val="002F55F1"/>
    <w:rsid w:val="002F5F34"/>
    <w:rsid w:val="00303C47"/>
    <w:rsid w:val="00303E12"/>
    <w:rsid w:val="00310947"/>
    <w:rsid w:val="0031116A"/>
    <w:rsid w:val="0031695C"/>
    <w:rsid w:val="0032001C"/>
    <w:rsid w:val="0032336F"/>
    <w:rsid w:val="00326BA0"/>
    <w:rsid w:val="00327F0A"/>
    <w:rsid w:val="00331055"/>
    <w:rsid w:val="00332231"/>
    <w:rsid w:val="003338A7"/>
    <w:rsid w:val="003371D3"/>
    <w:rsid w:val="00345967"/>
    <w:rsid w:val="00354FCD"/>
    <w:rsid w:val="00357E52"/>
    <w:rsid w:val="003600C7"/>
    <w:rsid w:val="00362D2C"/>
    <w:rsid w:val="003658BC"/>
    <w:rsid w:val="00371C9C"/>
    <w:rsid w:val="00371F09"/>
    <w:rsid w:val="00372526"/>
    <w:rsid w:val="0037253B"/>
    <w:rsid w:val="00373B9B"/>
    <w:rsid w:val="00373F50"/>
    <w:rsid w:val="0037628D"/>
    <w:rsid w:val="003810CA"/>
    <w:rsid w:val="00381857"/>
    <w:rsid w:val="0038445A"/>
    <w:rsid w:val="00385BBC"/>
    <w:rsid w:val="00387CAD"/>
    <w:rsid w:val="00390633"/>
    <w:rsid w:val="00390CDE"/>
    <w:rsid w:val="00391A9F"/>
    <w:rsid w:val="00393576"/>
    <w:rsid w:val="00394C68"/>
    <w:rsid w:val="00395C7F"/>
    <w:rsid w:val="003A15CA"/>
    <w:rsid w:val="003A528E"/>
    <w:rsid w:val="003A5C28"/>
    <w:rsid w:val="003A7B6F"/>
    <w:rsid w:val="003B398F"/>
    <w:rsid w:val="003B6773"/>
    <w:rsid w:val="003C00DF"/>
    <w:rsid w:val="003D5558"/>
    <w:rsid w:val="003E310D"/>
    <w:rsid w:val="003E4435"/>
    <w:rsid w:val="003F1042"/>
    <w:rsid w:val="00402F33"/>
    <w:rsid w:val="00403A1C"/>
    <w:rsid w:val="00404837"/>
    <w:rsid w:val="00405FA7"/>
    <w:rsid w:val="00410A1E"/>
    <w:rsid w:val="0041167F"/>
    <w:rsid w:val="0041210A"/>
    <w:rsid w:val="00412B93"/>
    <w:rsid w:val="00414E5B"/>
    <w:rsid w:val="00415D99"/>
    <w:rsid w:val="00416008"/>
    <w:rsid w:val="0042308F"/>
    <w:rsid w:val="00424161"/>
    <w:rsid w:val="00427BCA"/>
    <w:rsid w:val="00427C12"/>
    <w:rsid w:val="00437B12"/>
    <w:rsid w:val="00440B9E"/>
    <w:rsid w:val="0044150B"/>
    <w:rsid w:val="00443C11"/>
    <w:rsid w:val="004461C4"/>
    <w:rsid w:val="004465CD"/>
    <w:rsid w:val="004476E7"/>
    <w:rsid w:val="00453EDC"/>
    <w:rsid w:val="00457566"/>
    <w:rsid w:val="00457577"/>
    <w:rsid w:val="004614F5"/>
    <w:rsid w:val="00464194"/>
    <w:rsid w:val="00473869"/>
    <w:rsid w:val="00473FF8"/>
    <w:rsid w:val="00475418"/>
    <w:rsid w:val="00475796"/>
    <w:rsid w:val="004760D2"/>
    <w:rsid w:val="00476EBE"/>
    <w:rsid w:val="00481FD0"/>
    <w:rsid w:val="004822BF"/>
    <w:rsid w:val="00484BBD"/>
    <w:rsid w:val="00485278"/>
    <w:rsid w:val="004866BB"/>
    <w:rsid w:val="004870B2"/>
    <w:rsid w:val="00491111"/>
    <w:rsid w:val="004913C7"/>
    <w:rsid w:val="00495DF9"/>
    <w:rsid w:val="004A34FE"/>
    <w:rsid w:val="004A3D2C"/>
    <w:rsid w:val="004A7962"/>
    <w:rsid w:val="004B33F7"/>
    <w:rsid w:val="004C3831"/>
    <w:rsid w:val="004D3EAF"/>
    <w:rsid w:val="004D6E79"/>
    <w:rsid w:val="004D7770"/>
    <w:rsid w:val="004D7B7E"/>
    <w:rsid w:val="004E0E2D"/>
    <w:rsid w:val="004E3737"/>
    <w:rsid w:val="004F5BD3"/>
    <w:rsid w:val="00513917"/>
    <w:rsid w:val="00520C2F"/>
    <w:rsid w:val="00522AE6"/>
    <w:rsid w:val="00524D39"/>
    <w:rsid w:val="00527A10"/>
    <w:rsid w:val="0054093B"/>
    <w:rsid w:val="00543D87"/>
    <w:rsid w:val="00544E9E"/>
    <w:rsid w:val="005471EB"/>
    <w:rsid w:val="005509BF"/>
    <w:rsid w:val="005529C2"/>
    <w:rsid w:val="00553509"/>
    <w:rsid w:val="00557D94"/>
    <w:rsid w:val="005610B2"/>
    <w:rsid w:val="0056441F"/>
    <w:rsid w:val="005740F5"/>
    <w:rsid w:val="00582D3F"/>
    <w:rsid w:val="00582D6C"/>
    <w:rsid w:val="0058391F"/>
    <w:rsid w:val="00593493"/>
    <w:rsid w:val="00594A66"/>
    <w:rsid w:val="00597078"/>
    <w:rsid w:val="005A3E27"/>
    <w:rsid w:val="005A4185"/>
    <w:rsid w:val="005A463C"/>
    <w:rsid w:val="005A6EA9"/>
    <w:rsid w:val="005B2978"/>
    <w:rsid w:val="005B4055"/>
    <w:rsid w:val="005B60C6"/>
    <w:rsid w:val="005B7A71"/>
    <w:rsid w:val="005C2854"/>
    <w:rsid w:val="005C72F7"/>
    <w:rsid w:val="005C7A35"/>
    <w:rsid w:val="005C7FC9"/>
    <w:rsid w:val="005D63B4"/>
    <w:rsid w:val="005D6F3A"/>
    <w:rsid w:val="005D7C8C"/>
    <w:rsid w:val="005E2143"/>
    <w:rsid w:val="005E31CF"/>
    <w:rsid w:val="005E779D"/>
    <w:rsid w:val="005F70A7"/>
    <w:rsid w:val="005F7741"/>
    <w:rsid w:val="00604D9B"/>
    <w:rsid w:val="00610995"/>
    <w:rsid w:val="00612DBE"/>
    <w:rsid w:val="006244C9"/>
    <w:rsid w:val="00624733"/>
    <w:rsid w:val="00627444"/>
    <w:rsid w:val="00630DDD"/>
    <w:rsid w:val="00632251"/>
    <w:rsid w:val="00636ED7"/>
    <w:rsid w:val="006419A0"/>
    <w:rsid w:val="00644E5D"/>
    <w:rsid w:val="00647110"/>
    <w:rsid w:val="00651712"/>
    <w:rsid w:val="0065434A"/>
    <w:rsid w:val="0065537F"/>
    <w:rsid w:val="0065557F"/>
    <w:rsid w:val="00657E79"/>
    <w:rsid w:val="006621E0"/>
    <w:rsid w:val="00664C72"/>
    <w:rsid w:val="00667F79"/>
    <w:rsid w:val="00672C69"/>
    <w:rsid w:val="00677664"/>
    <w:rsid w:val="00681F64"/>
    <w:rsid w:val="00683ED7"/>
    <w:rsid w:val="00685D77"/>
    <w:rsid w:val="006867FF"/>
    <w:rsid w:val="00690494"/>
    <w:rsid w:val="00690A4B"/>
    <w:rsid w:val="006911FE"/>
    <w:rsid w:val="006939A6"/>
    <w:rsid w:val="006A1FF3"/>
    <w:rsid w:val="006A5CE8"/>
    <w:rsid w:val="006B24D5"/>
    <w:rsid w:val="006B2730"/>
    <w:rsid w:val="006B60CD"/>
    <w:rsid w:val="006C48DC"/>
    <w:rsid w:val="006D0CCF"/>
    <w:rsid w:val="006D190A"/>
    <w:rsid w:val="006D1CBE"/>
    <w:rsid w:val="006E5F7D"/>
    <w:rsid w:val="006E6B6D"/>
    <w:rsid w:val="006F3CD3"/>
    <w:rsid w:val="006F5086"/>
    <w:rsid w:val="006F5F81"/>
    <w:rsid w:val="00700758"/>
    <w:rsid w:val="007038EF"/>
    <w:rsid w:val="0070576E"/>
    <w:rsid w:val="00706F7C"/>
    <w:rsid w:val="0070712A"/>
    <w:rsid w:val="00714C77"/>
    <w:rsid w:val="00714CA7"/>
    <w:rsid w:val="00715065"/>
    <w:rsid w:val="007203D7"/>
    <w:rsid w:val="007222CA"/>
    <w:rsid w:val="00723635"/>
    <w:rsid w:val="0072416A"/>
    <w:rsid w:val="00724C8A"/>
    <w:rsid w:val="0073027A"/>
    <w:rsid w:val="0073105C"/>
    <w:rsid w:val="00736EC5"/>
    <w:rsid w:val="00740126"/>
    <w:rsid w:val="007402DA"/>
    <w:rsid w:val="007433C8"/>
    <w:rsid w:val="00745C57"/>
    <w:rsid w:val="0074728D"/>
    <w:rsid w:val="00747E1E"/>
    <w:rsid w:val="00752B0D"/>
    <w:rsid w:val="00754CD5"/>
    <w:rsid w:val="00760D34"/>
    <w:rsid w:val="00761392"/>
    <w:rsid w:val="007633A8"/>
    <w:rsid w:val="00766BD9"/>
    <w:rsid w:val="00767DAD"/>
    <w:rsid w:val="0077262A"/>
    <w:rsid w:val="007738A0"/>
    <w:rsid w:val="00782821"/>
    <w:rsid w:val="0078343F"/>
    <w:rsid w:val="0078593C"/>
    <w:rsid w:val="00790640"/>
    <w:rsid w:val="007936F7"/>
    <w:rsid w:val="0079445E"/>
    <w:rsid w:val="00795100"/>
    <w:rsid w:val="0079548A"/>
    <w:rsid w:val="007A04C2"/>
    <w:rsid w:val="007A1A1A"/>
    <w:rsid w:val="007A1AA1"/>
    <w:rsid w:val="007A371E"/>
    <w:rsid w:val="007A6C4B"/>
    <w:rsid w:val="007B10B1"/>
    <w:rsid w:val="007B27B5"/>
    <w:rsid w:val="007B355A"/>
    <w:rsid w:val="007B37D2"/>
    <w:rsid w:val="007C44A6"/>
    <w:rsid w:val="007C5BFA"/>
    <w:rsid w:val="007C66C7"/>
    <w:rsid w:val="007D6ADB"/>
    <w:rsid w:val="007E1063"/>
    <w:rsid w:val="007E36F5"/>
    <w:rsid w:val="007E412F"/>
    <w:rsid w:val="007E5372"/>
    <w:rsid w:val="007E59F3"/>
    <w:rsid w:val="007F3966"/>
    <w:rsid w:val="007F407F"/>
    <w:rsid w:val="007F5BA6"/>
    <w:rsid w:val="007F75D8"/>
    <w:rsid w:val="00802807"/>
    <w:rsid w:val="00805435"/>
    <w:rsid w:val="008055BA"/>
    <w:rsid w:val="00810BB6"/>
    <w:rsid w:val="008114DA"/>
    <w:rsid w:val="00811766"/>
    <w:rsid w:val="008215ED"/>
    <w:rsid w:val="00821B31"/>
    <w:rsid w:val="00826FAA"/>
    <w:rsid w:val="00827185"/>
    <w:rsid w:val="008351BB"/>
    <w:rsid w:val="008462B9"/>
    <w:rsid w:val="008515E1"/>
    <w:rsid w:val="00851F5F"/>
    <w:rsid w:val="00856DC1"/>
    <w:rsid w:val="00857A51"/>
    <w:rsid w:val="00857F03"/>
    <w:rsid w:val="0086068D"/>
    <w:rsid w:val="00862370"/>
    <w:rsid w:val="00864DE6"/>
    <w:rsid w:val="008679DC"/>
    <w:rsid w:val="008805FF"/>
    <w:rsid w:val="00880A0D"/>
    <w:rsid w:val="00881021"/>
    <w:rsid w:val="008828F4"/>
    <w:rsid w:val="008839EB"/>
    <w:rsid w:val="00885501"/>
    <w:rsid w:val="00890FA9"/>
    <w:rsid w:val="008A1500"/>
    <w:rsid w:val="008A2D5C"/>
    <w:rsid w:val="008A423D"/>
    <w:rsid w:val="008A5B38"/>
    <w:rsid w:val="008A5B64"/>
    <w:rsid w:val="008B16C3"/>
    <w:rsid w:val="008B31A3"/>
    <w:rsid w:val="008D2565"/>
    <w:rsid w:val="008D26D3"/>
    <w:rsid w:val="008D2AC7"/>
    <w:rsid w:val="008D368E"/>
    <w:rsid w:val="008D3FAE"/>
    <w:rsid w:val="008D6340"/>
    <w:rsid w:val="008D6E42"/>
    <w:rsid w:val="008E1038"/>
    <w:rsid w:val="008E36F4"/>
    <w:rsid w:val="008F2A87"/>
    <w:rsid w:val="008F3801"/>
    <w:rsid w:val="008F3915"/>
    <w:rsid w:val="00903630"/>
    <w:rsid w:val="00904C45"/>
    <w:rsid w:val="009078AD"/>
    <w:rsid w:val="0091104B"/>
    <w:rsid w:val="009215BB"/>
    <w:rsid w:val="00922670"/>
    <w:rsid w:val="0092391B"/>
    <w:rsid w:val="009260D4"/>
    <w:rsid w:val="0093116E"/>
    <w:rsid w:val="00934CEF"/>
    <w:rsid w:val="00940111"/>
    <w:rsid w:val="00946D5E"/>
    <w:rsid w:val="00950977"/>
    <w:rsid w:val="00951C7A"/>
    <w:rsid w:val="009571BE"/>
    <w:rsid w:val="00960274"/>
    <w:rsid w:val="00965FB5"/>
    <w:rsid w:val="009677E1"/>
    <w:rsid w:val="00970714"/>
    <w:rsid w:val="00975B49"/>
    <w:rsid w:val="009820EA"/>
    <w:rsid w:val="009839D5"/>
    <w:rsid w:val="00985801"/>
    <w:rsid w:val="00986DBE"/>
    <w:rsid w:val="0099506F"/>
    <w:rsid w:val="0099759D"/>
    <w:rsid w:val="009A2767"/>
    <w:rsid w:val="009B10A7"/>
    <w:rsid w:val="009B216F"/>
    <w:rsid w:val="009C1059"/>
    <w:rsid w:val="009C23C9"/>
    <w:rsid w:val="009C5D94"/>
    <w:rsid w:val="009C60BB"/>
    <w:rsid w:val="009C6A87"/>
    <w:rsid w:val="009D209E"/>
    <w:rsid w:val="009D3CFC"/>
    <w:rsid w:val="009D55F9"/>
    <w:rsid w:val="009D59A9"/>
    <w:rsid w:val="009D6D83"/>
    <w:rsid w:val="009E4964"/>
    <w:rsid w:val="009F2923"/>
    <w:rsid w:val="009F46FA"/>
    <w:rsid w:val="009F72C6"/>
    <w:rsid w:val="00A01EBB"/>
    <w:rsid w:val="00A05800"/>
    <w:rsid w:val="00A12CD7"/>
    <w:rsid w:val="00A210D2"/>
    <w:rsid w:val="00A262DF"/>
    <w:rsid w:val="00A30616"/>
    <w:rsid w:val="00A32717"/>
    <w:rsid w:val="00A332B8"/>
    <w:rsid w:val="00A34545"/>
    <w:rsid w:val="00A34A29"/>
    <w:rsid w:val="00A35634"/>
    <w:rsid w:val="00A41B9E"/>
    <w:rsid w:val="00A4353D"/>
    <w:rsid w:val="00A4530B"/>
    <w:rsid w:val="00A475B7"/>
    <w:rsid w:val="00A53CCD"/>
    <w:rsid w:val="00A6145F"/>
    <w:rsid w:val="00A61E84"/>
    <w:rsid w:val="00A63F9C"/>
    <w:rsid w:val="00A64409"/>
    <w:rsid w:val="00A67F2C"/>
    <w:rsid w:val="00A742D7"/>
    <w:rsid w:val="00A755DE"/>
    <w:rsid w:val="00A813D8"/>
    <w:rsid w:val="00A826D4"/>
    <w:rsid w:val="00A83DAC"/>
    <w:rsid w:val="00A909E8"/>
    <w:rsid w:val="00A91DC4"/>
    <w:rsid w:val="00A94F4C"/>
    <w:rsid w:val="00AA08F0"/>
    <w:rsid w:val="00AA0A30"/>
    <w:rsid w:val="00AA1781"/>
    <w:rsid w:val="00AA3846"/>
    <w:rsid w:val="00AA5AFD"/>
    <w:rsid w:val="00AA66BD"/>
    <w:rsid w:val="00AA74EA"/>
    <w:rsid w:val="00AA7951"/>
    <w:rsid w:val="00AA79D6"/>
    <w:rsid w:val="00AB421F"/>
    <w:rsid w:val="00AB46E6"/>
    <w:rsid w:val="00AB5CC3"/>
    <w:rsid w:val="00AC3127"/>
    <w:rsid w:val="00AC3300"/>
    <w:rsid w:val="00AC46BA"/>
    <w:rsid w:val="00AC4CDD"/>
    <w:rsid w:val="00AC7891"/>
    <w:rsid w:val="00AD70EE"/>
    <w:rsid w:val="00AE6A05"/>
    <w:rsid w:val="00AF5A6E"/>
    <w:rsid w:val="00B00288"/>
    <w:rsid w:val="00B003A5"/>
    <w:rsid w:val="00B074B5"/>
    <w:rsid w:val="00B10040"/>
    <w:rsid w:val="00B11527"/>
    <w:rsid w:val="00B12B25"/>
    <w:rsid w:val="00B12D1A"/>
    <w:rsid w:val="00B1414B"/>
    <w:rsid w:val="00B15AFA"/>
    <w:rsid w:val="00B16CCF"/>
    <w:rsid w:val="00B24565"/>
    <w:rsid w:val="00B33B40"/>
    <w:rsid w:val="00B37A93"/>
    <w:rsid w:val="00B407DC"/>
    <w:rsid w:val="00B41B30"/>
    <w:rsid w:val="00B455D3"/>
    <w:rsid w:val="00B46D34"/>
    <w:rsid w:val="00B5068B"/>
    <w:rsid w:val="00B50903"/>
    <w:rsid w:val="00B528B2"/>
    <w:rsid w:val="00B600A8"/>
    <w:rsid w:val="00B62F70"/>
    <w:rsid w:val="00B62FB5"/>
    <w:rsid w:val="00B6318B"/>
    <w:rsid w:val="00B6356F"/>
    <w:rsid w:val="00B73568"/>
    <w:rsid w:val="00B73FB2"/>
    <w:rsid w:val="00B748DD"/>
    <w:rsid w:val="00B77A9E"/>
    <w:rsid w:val="00B77C9D"/>
    <w:rsid w:val="00B8056E"/>
    <w:rsid w:val="00B81EF8"/>
    <w:rsid w:val="00B81FFC"/>
    <w:rsid w:val="00B833F4"/>
    <w:rsid w:val="00B90615"/>
    <w:rsid w:val="00B9276C"/>
    <w:rsid w:val="00B92EDA"/>
    <w:rsid w:val="00B94ACE"/>
    <w:rsid w:val="00B97134"/>
    <w:rsid w:val="00BB0419"/>
    <w:rsid w:val="00BB4885"/>
    <w:rsid w:val="00BB4BE7"/>
    <w:rsid w:val="00BB50D8"/>
    <w:rsid w:val="00BC1E2A"/>
    <w:rsid w:val="00BC5A3F"/>
    <w:rsid w:val="00BC7707"/>
    <w:rsid w:val="00BE0F28"/>
    <w:rsid w:val="00BE0F47"/>
    <w:rsid w:val="00BE31C6"/>
    <w:rsid w:val="00BF0EF2"/>
    <w:rsid w:val="00BF782F"/>
    <w:rsid w:val="00C037E5"/>
    <w:rsid w:val="00C05AB3"/>
    <w:rsid w:val="00C05D73"/>
    <w:rsid w:val="00C101B2"/>
    <w:rsid w:val="00C10D13"/>
    <w:rsid w:val="00C1133D"/>
    <w:rsid w:val="00C12A88"/>
    <w:rsid w:val="00C142EA"/>
    <w:rsid w:val="00C1690F"/>
    <w:rsid w:val="00C17743"/>
    <w:rsid w:val="00C22628"/>
    <w:rsid w:val="00C24D78"/>
    <w:rsid w:val="00C26259"/>
    <w:rsid w:val="00C31EA7"/>
    <w:rsid w:val="00C32FA9"/>
    <w:rsid w:val="00C34511"/>
    <w:rsid w:val="00C34B4E"/>
    <w:rsid w:val="00C4172D"/>
    <w:rsid w:val="00C42970"/>
    <w:rsid w:val="00C468B4"/>
    <w:rsid w:val="00C47E5F"/>
    <w:rsid w:val="00C562B3"/>
    <w:rsid w:val="00C61DCF"/>
    <w:rsid w:val="00C72244"/>
    <w:rsid w:val="00C75473"/>
    <w:rsid w:val="00C76CE6"/>
    <w:rsid w:val="00C801C2"/>
    <w:rsid w:val="00C82925"/>
    <w:rsid w:val="00C83DD1"/>
    <w:rsid w:val="00C844C2"/>
    <w:rsid w:val="00C85EFA"/>
    <w:rsid w:val="00C87399"/>
    <w:rsid w:val="00C90B61"/>
    <w:rsid w:val="00C92A8E"/>
    <w:rsid w:val="00C93DDF"/>
    <w:rsid w:val="00C974B2"/>
    <w:rsid w:val="00CA03A4"/>
    <w:rsid w:val="00CA7370"/>
    <w:rsid w:val="00CB680B"/>
    <w:rsid w:val="00CC0101"/>
    <w:rsid w:val="00CC0C95"/>
    <w:rsid w:val="00CC0DA3"/>
    <w:rsid w:val="00CC52F0"/>
    <w:rsid w:val="00CC6C8C"/>
    <w:rsid w:val="00CC7DE2"/>
    <w:rsid w:val="00CD14C6"/>
    <w:rsid w:val="00CD14E6"/>
    <w:rsid w:val="00CD3F9C"/>
    <w:rsid w:val="00CD43AF"/>
    <w:rsid w:val="00CD4728"/>
    <w:rsid w:val="00CD7AC4"/>
    <w:rsid w:val="00CE1320"/>
    <w:rsid w:val="00CE4AE5"/>
    <w:rsid w:val="00CE6D96"/>
    <w:rsid w:val="00CF1617"/>
    <w:rsid w:val="00CF2B97"/>
    <w:rsid w:val="00CF38D0"/>
    <w:rsid w:val="00CF3DC1"/>
    <w:rsid w:val="00D0670E"/>
    <w:rsid w:val="00D069C3"/>
    <w:rsid w:val="00D079DC"/>
    <w:rsid w:val="00D11F13"/>
    <w:rsid w:val="00D12936"/>
    <w:rsid w:val="00D140BC"/>
    <w:rsid w:val="00D163BF"/>
    <w:rsid w:val="00D17CAD"/>
    <w:rsid w:val="00D20CAF"/>
    <w:rsid w:val="00D24DBF"/>
    <w:rsid w:val="00D274A9"/>
    <w:rsid w:val="00D30438"/>
    <w:rsid w:val="00D32DE4"/>
    <w:rsid w:val="00D42EAB"/>
    <w:rsid w:val="00D434BB"/>
    <w:rsid w:val="00D46ED8"/>
    <w:rsid w:val="00D509BD"/>
    <w:rsid w:val="00D54E0D"/>
    <w:rsid w:val="00D56ADF"/>
    <w:rsid w:val="00D57DFE"/>
    <w:rsid w:val="00D601DA"/>
    <w:rsid w:val="00D61F0C"/>
    <w:rsid w:val="00D62B50"/>
    <w:rsid w:val="00D64653"/>
    <w:rsid w:val="00D66FD2"/>
    <w:rsid w:val="00D70FCD"/>
    <w:rsid w:val="00D71411"/>
    <w:rsid w:val="00D729C2"/>
    <w:rsid w:val="00D73224"/>
    <w:rsid w:val="00D73B5D"/>
    <w:rsid w:val="00D76489"/>
    <w:rsid w:val="00D778BA"/>
    <w:rsid w:val="00D8104D"/>
    <w:rsid w:val="00D81AB2"/>
    <w:rsid w:val="00D822A0"/>
    <w:rsid w:val="00D849B5"/>
    <w:rsid w:val="00D86989"/>
    <w:rsid w:val="00D86C9B"/>
    <w:rsid w:val="00DA0482"/>
    <w:rsid w:val="00DA4D7F"/>
    <w:rsid w:val="00DA5126"/>
    <w:rsid w:val="00DA7A12"/>
    <w:rsid w:val="00DB339B"/>
    <w:rsid w:val="00DC0ADF"/>
    <w:rsid w:val="00DC6AC3"/>
    <w:rsid w:val="00DD0232"/>
    <w:rsid w:val="00DD31D7"/>
    <w:rsid w:val="00DD334F"/>
    <w:rsid w:val="00DD51EE"/>
    <w:rsid w:val="00DD724C"/>
    <w:rsid w:val="00DD74E6"/>
    <w:rsid w:val="00DE1845"/>
    <w:rsid w:val="00DE1FD1"/>
    <w:rsid w:val="00DE6503"/>
    <w:rsid w:val="00DE6C12"/>
    <w:rsid w:val="00DF69B0"/>
    <w:rsid w:val="00E00998"/>
    <w:rsid w:val="00E01DFE"/>
    <w:rsid w:val="00E032A3"/>
    <w:rsid w:val="00E11385"/>
    <w:rsid w:val="00E11677"/>
    <w:rsid w:val="00E1606A"/>
    <w:rsid w:val="00E23074"/>
    <w:rsid w:val="00E23248"/>
    <w:rsid w:val="00E24C53"/>
    <w:rsid w:val="00E27DA9"/>
    <w:rsid w:val="00E27F96"/>
    <w:rsid w:val="00E323E5"/>
    <w:rsid w:val="00E3281D"/>
    <w:rsid w:val="00E32E07"/>
    <w:rsid w:val="00E35717"/>
    <w:rsid w:val="00E35E7B"/>
    <w:rsid w:val="00E41283"/>
    <w:rsid w:val="00E47CC9"/>
    <w:rsid w:val="00E56BBE"/>
    <w:rsid w:val="00E62953"/>
    <w:rsid w:val="00E66BB8"/>
    <w:rsid w:val="00E7504E"/>
    <w:rsid w:val="00E75EEA"/>
    <w:rsid w:val="00E76AF1"/>
    <w:rsid w:val="00E76C02"/>
    <w:rsid w:val="00E770D6"/>
    <w:rsid w:val="00E775D0"/>
    <w:rsid w:val="00E77A36"/>
    <w:rsid w:val="00E83546"/>
    <w:rsid w:val="00E84131"/>
    <w:rsid w:val="00E93AA5"/>
    <w:rsid w:val="00E94D90"/>
    <w:rsid w:val="00EA3C4A"/>
    <w:rsid w:val="00EA4A12"/>
    <w:rsid w:val="00EA4B55"/>
    <w:rsid w:val="00EB4CC0"/>
    <w:rsid w:val="00EB6E0A"/>
    <w:rsid w:val="00EC271A"/>
    <w:rsid w:val="00EC719F"/>
    <w:rsid w:val="00EC7B6B"/>
    <w:rsid w:val="00EC7BFC"/>
    <w:rsid w:val="00ED0C2B"/>
    <w:rsid w:val="00ED0D03"/>
    <w:rsid w:val="00ED19A1"/>
    <w:rsid w:val="00EE1470"/>
    <w:rsid w:val="00EE29AD"/>
    <w:rsid w:val="00EE2BA3"/>
    <w:rsid w:val="00EE49C9"/>
    <w:rsid w:val="00EE4E02"/>
    <w:rsid w:val="00EF35FB"/>
    <w:rsid w:val="00EF5019"/>
    <w:rsid w:val="00EF5FDC"/>
    <w:rsid w:val="00F006A3"/>
    <w:rsid w:val="00F025B0"/>
    <w:rsid w:val="00F06CBE"/>
    <w:rsid w:val="00F13D75"/>
    <w:rsid w:val="00F14DF2"/>
    <w:rsid w:val="00F21C1F"/>
    <w:rsid w:val="00F2518B"/>
    <w:rsid w:val="00F25FFC"/>
    <w:rsid w:val="00F3110F"/>
    <w:rsid w:val="00F441F5"/>
    <w:rsid w:val="00F51A14"/>
    <w:rsid w:val="00F53DF3"/>
    <w:rsid w:val="00F549FD"/>
    <w:rsid w:val="00F56240"/>
    <w:rsid w:val="00F602DE"/>
    <w:rsid w:val="00F61212"/>
    <w:rsid w:val="00F6398A"/>
    <w:rsid w:val="00F63B33"/>
    <w:rsid w:val="00F6691A"/>
    <w:rsid w:val="00F71508"/>
    <w:rsid w:val="00F7403C"/>
    <w:rsid w:val="00F75101"/>
    <w:rsid w:val="00F75333"/>
    <w:rsid w:val="00F82813"/>
    <w:rsid w:val="00F840B1"/>
    <w:rsid w:val="00F85593"/>
    <w:rsid w:val="00F9272E"/>
    <w:rsid w:val="00F93335"/>
    <w:rsid w:val="00F93613"/>
    <w:rsid w:val="00FA3093"/>
    <w:rsid w:val="00FA56AF"/>
    <w:rsid w:val="00FA68A1"/>
    <w:rsid w:val="00FA7759"/>
    <w:rsid w:val="00FB709A"/>
    <w:rsid w:val="00FC040B"/>
    <w:rsid w:val="00FC123C"/>
    <w:rsid w:val="00FC308F"/>
    <w:rsid w:val="00FC6153"/>
    <w:rsid w:val="00FD7932"/>
    <w:rsid w:val="00FE5382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C5B708"/>
  <w15:docId w15:val="{88198C51-CC13-49CB-9BF2-FCF7B525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3">
    <w:name w:val="heading 3"/>
    <w:basedOn w:val="Normal"/>
    <w:next w:val="Normal"/>
    <w:link w:val="Heading3Char"/>
    <w:qFormat/>
    <w:rsid w:val="00604D9B"/>
    <w:pPr>
      <w:keepNext/>
      <w:widowControl/>
      <w:spacing w:after="60" w:line="276" w:lineRule="auto"/>
      <w:outlineLvl w:val="2"/>
    </w:pPr>
    <w:rPr>
      <w:rFonts w:eastAsia="Times New Roman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7B12"/>
    <w:pPr>
      <w:numPr>
        <w:numId w:val="2"/>
      </w:numPr>
      <w:tabs>
        <w:tab w:val="left" w:pos="469"/>
      </w:tabs>
      <w:spacing w:before="5"/>
      <w:ind w:left="0" w:right="180"/>
    </w:pPr>
    <w:rPr>
      <w:rFonts w:eastAsia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88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3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CD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53CCD"/>
  </w:style>
  <w:style w:type="character" w:customStyle="1" w:styleId="BodyTextChar">
    <w:name w:val="Body Text Char"/>
    <w:basedOn w:val="DefaultParagraphFont"/>
    <w:link w:val="BodyText"/>
    <w:uiPriority w:val="1"/>
    <w:rsid w:val="00437B12"/>
    <w:rPr>
      <w:rFonts w:eastAsia="Arial" w:cs="Arial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0F331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311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F33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33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311"/>
    <w:rPr>
      <w:lang w:val="en-GB"/>
    </w:rPr>
  </w:style>
  <w:style w:type="paragraph" w:customStyle="1" w:styleId="Default">
    <w:name w:val="Default"/>
    <w:rsid w:val="00E35E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3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98A"/>
  </w:style>
  <w:style w:type="character" w:customStyle="1" w:styleId="CommentTextChar">
    <w:name w:val="Comment Text Char"/>
    <w:basedOn w:val="DefaultParagraphFont"/>
    <w:link w:val="CommentText"/>
    <w:uiPriority w:val="99"/>
    <w:rsid w:val="00F6398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98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98A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BF782F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rsid w:val="00161AE4"/>
    <w:pPr>
      <w:jc w:val="center"/>
    </w:pPr>
    <w:rPr>
      <w:rFonts w:ascii="Calibri" w:hAnsi="Calibri" w:cs="Calibri"/>
      <w:sz w:val="22"/>
    </w:rPr>
  </w:style>
  <w:style w:type="paragraph" w:customStyle="1" w:styleId="EndNoteBibliography">
    <w:name w:val="EndNote Bibliography"/>
    <w:basedOn w:val="Normal"/>
    <w:rsid w:val="00161AE4"/>
    <w:rPr>
      <w:rFonts w:ascii="Calibri" w:hAnsi="Calibri" w:cs="Calibri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471EB"/>
    <w:rPr>
      <w:i w:val="0"/>
      <w:iCs w:val="0"/>
      <w:color w:val="009030"/>
    </w:rPr>
  </w:style>
  <w:style w:type="character" w:customStyle="1" w:styleId="Heading3Char">
    <w:name w:val="Heading 3 Char"/>
    <w:basedOn w:val="DefaultParagraphFont"/>
    <w:link w:val="Heading3"/>
    <w:rsid w:val="00604D9B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890FA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86DBE"/>
    <w:pPr>
      <w:widowControl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B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42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A7D2D153955C46B7623FB1C5E2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2B76-5055-7F49-941A-F6C30E5B60EE}"/>
      </w:docPartPr>
      <w:docPartBody>
        <w:p w:rsidR="00154658" w:rsidRDefault="00154658" w:rsidP="00154658">
          <w:pPr>
            <w:pStyle w:val="07A7D2D153955C46B7623FB1C5E249CA"/>
          </w:pPr>
          <w:r>
            <w:t>[Type text]</w:t>
          </w:r>
        </w:p>
      </w:docPartBody>
    </w:docPart>
    <w:docPart>
      <w:docPartPr>
        <w:name w:val="04BD60BF5BB5974F83FA1F5AE7FCD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8FD3-60D3-894A-8517-FEB45AD83CE4}"/>
      </w:docPartPr>
      <w:docPartBody>
        <w:p w:rsidR="00154658" w:rsidRDefault="00154658" w:rsidP="00154658">
          <w:pPr>
            <w:pStyle w:val="04BD60BF5BB5974F83FA1F5AE7FCD306"/>
          </w:pPr>
          <w:r>
            <w:t>[Type text]</w:t>
          </w:r>
        </w:p>
      </w:docPartBody>
    </w:docPart>
    <w:docPart>
      <w:docPartPr>
        <w:name w:val="E7037D3DB7E12442904529471A6C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9AB7-11E1-B44D-AB95-AB5F8AA6990D}"/>
      </w:docPartPr>
      <w:docPartBody>
        <w:p w:rsidR="00154658" w:rsidRDefault="00154658" w:rsidP="00154658">
          <w:pPr>
            <w:pStyle w:val="E7037D3DB7E12442904529471A6CB74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58"/>
    <w:rsid w:val="0001328F"/>
    <w:rsid w:val="0002188F"/>
    <w:rsid w:val="000647C6"/>
    <w:rsid w:val="00066D85"/>
    <w:rsid w:val="000A4D79"/>
    <w:rsid w:val="000B3D6A"/>
    <w:rsid w:val="000C25B2"/>
    <w:rsid w:val="000D42E3"/>
    <w:rsid w:val="000D56CD"/>
    <w:rsid w:val="000F3998"/>
    <w:rsid w:val="00120F31"/>
    <w:rsid w:val="00154658"/>
    <w:rsid w:val="00173565"/>
    <w:rsid w:val="00207577"/>
    <w:rsid w:val="00221FFE"/>
    <w:rsid w:val="00235410"/>
    <w:rsid w:val="002B3FEE"/>
    <w:rsid w:val="002C74F9"/>
    <w:rsid w:val="0032726D"/>
    <w:rsid w:val="003C2A64"/>
    <w:rsid w:val="003E6FB7"/>
    <w:rsid w:val="003E71CA"/>
    <w:rsid w:val="004155D2"/>
    <w:rsid w:val="0042384A"/>
    <w:rsid w:val="00487445"/>
    <w:rsid w:val="004B3E7A"/>
    <w:rsid w:val="00556345"/>
    <w:rsid w:val="00557CBE"/>
    <w:rsid w:val="00585104"/>
    <w:rsid w:val="00587E9E"/>
    <w:rsid w:val="005A0F4E"/>
    <w:rsid w:val="00602DD1"/>
    <w:rsid w:val="00631640"/>
    <w:rsid w:val="00637142"/>
    <w:rsid w:val="00654EC2"/>
    <w:rsid w:val="00666166"/>
    <w:rsid w:val="00685C9D"/>
    <w:rsid w:val="007038EF"/>
    <w:rsid w:val="007463E0"/>
    <w:rsid w:val="007507E1"/>
    <w:rsid w:val="007848F4"/>
    <w:rsid w:val="00791FAB"/>
    <w:rsid w:val="00805435"/>
    <w:rsid w:val="00805E51"/>
    <w:rsid w:val="00812697"/>
    <w:rsid w:val="0084602B"/>
    <w:rsid w:val="008A5773"/>
    <w:rsid w:val="008E1C07"/>
    <w:rsid w:val="009A21C3"/>
    <w:rsid w:val="009C78F4"/>
    <w:rsid w:val="00A2556D"/>
    <w:rsid w:val="00A43CAB"/>
    <w:rsid w:val="00A72D7B"/>
    <w:rsid w:val="00AD5389"/>
    <w:rsid w:val="00B455D3"/>
    <w:rsid w:val="00B53077"/>
    <w:rsid w:val="00B62F70"/>
    <w:rsid w:val="00B81EA0"/>
    <w:rsid w:val="00BB0D1F"/>
    <w:rsid w:val="00BC62D9"/>
    <w:rsid w:val="00BC7707"/>
    <w:rsid w:val="00BF6E02"/>
    <w:rsid w:val="00C22944"/>
    <w:rsid w:val="00C32E27"/>
    <w:rsid w:val="00C4470F"/>
    <w:rsid w:val="00C5118C"/>
    <w:rsid w:val="00C72025"/>
    <w:rsid w:val="00C736DC"/>
    <w:rsid w:val="00C9619E"/>
    <w:rsid w:val="00CB287F"/>
    <w:rsid w:val="00CF1977"/>
    <w:rsid w:val="00CF32E0"/>
    <w:rsid w:val="00D00DD1"/>
    <w:rsid w:val="00D052CD"/>
    <w:rsid w:val="00D134F7"/>
    <w:rsid w:val="00D17883"/>
    <w:rsid w:val="00D5213D"/>
    <w:rsid w:val="00DC3EEB"/>
    <w:rsid w:val="00DE75D4"/>
    <w:rsid w:val="00E21A58"/>
    <w:rsid w:val="00E56982"/>
    <w:rsid w:val="00E73FCC"/>
    <w:rsid w:val="00F013C5"/>
    <w:rsid w:val="00F45976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A7D2D153955C46B7623FB1C5E249CA">
    <w:name w:val="07A7D2D153955C46B7623FB1C5E249CA"/>
    <w:rsid w:val="00154658"/>
  </w:style>
  <w:style w:type="paragraph" w:customStyle="1" w:styleId="04BD60BF5BB5974F83FA1F5AE7FCD306">
    <w:name w:val="04BD60BF5BB5974F83FA1F5AE7FCD306"/>
    <w:rsid w:val="00154658"/>
  </w:style>
  <w:style w:type="paragraph" w:customStyle="1" w:styleId="E7037D3DB7E12442904529471A6CB749">
    <w:name w:val="E7037D3DB7E12442904529471A6CB749"/>
    <w:rsid w:val="00154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DC71E-480F-44A8-A92B-738ABD716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6358E-E05A-4CFA-A87E-DF0ADC45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4538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UoN</Company>
  <LinksUpToDate>false</LinksUpToDate>
  <CharactersWithSpaces>5345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claire.morris</dc:creator>
  <cp:keywords/>
  <dc:description/>
  <cp:lastModifiedBy>David Baldwin 2023 (N1275079)</cp:lastModifiedBy>
  <cp:revision>2</cp:revision>
  <cp:lastPrinted>2015-12-21T17:57:00Z</cp:lastPrinted>
  <dcterms:created xsi:type="dcterms:W3CDTF">2024-11-25T14:40:00Z</dcterms:created>
  <dcterms:modified xsi:type="dcterms:W3CDTF">2024-11-25T14:40:00Z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2012-09-04T10:00:00Z</vt:filetime>
  </property>
  <property fmtid="{D5CDD505-2E9C-101B-9397-08002B2CF9AE}" pid="3" name="LastSaved">
    <vt:filetime>2015-03-10T10:00:00Z</vt:filetime>
  </property>
</Properties>
</file>